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jc w:val="center"/>
        <w:tblCellSpacing w:w="0" w:type="dxa"/>
        <w:tblCellMar>
          <w:left w:w="0" w:type="dxa"/>
          <w:right w:w="0" w:type="dxa"/>
        </w:tblCellMar>
        <w:tblLook w:val="04A0" w:firstRow="1" w:lastRow="0" w:firstColumn="1" w:lastColumn="0" w:noHBand="0" w:noVBand="1"/>
      </w:tblPr>
      <w:tblGrid>
        <w:gridCol w:w="11250"/>
      </w:tblGrid>
      <w:tr w:rsidR="00E57541" w:rsidRPr="00E57541" w:rsidTr="00E57541">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250"/>
            </w:tblGrid>
            <w:tr w:rsidR="00E57541" w:rsidRPr="00E57541">
              <w:trPr>
                <w:tblCellSpacing w:w="0" w:type="dxa"/>
              </w:trPr>
              <w:tc>
                <w:tcPr>
                  <w:tcW w:w="0" w:type="auto"/>
                  <w:shd w:val="clear" w:color="auto" w:fill="6D7174"/>
                  <w:tcMar>
                    <w:top w:w="300" w:type="dxa"/>
                    <w:left w:w="300" w:type="dxa"/>
                    <w:bottom w:w="30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4899"/>
                    <w:gridCol w:w="5751"/>
                  </w:tblGrid>
                  <w:tr w:rsidR="00E57541" w:rsidRPr="00E57541">
                    <w:trPr>
                      <w:tblCellSpacing w:w="0" w:type="dxa"/>
                    </w:trPr>
                    <w:tc>
                      <w:tcPr>
                        <w:tcW w:w="2300" w:type="pct"/>
                        <w:tcMar>
                          <w:top w:w="0" w:type="dxa"/>
                          <w:left w:w="150" w:type="dxa"/>
                          <w:bottom w:w="0" w:type="dxa"/>
                          <w:right w:w="0" w:type="dxa"/>
                        </w:tcMar>
                        <w:vAlign w:val="center"/>
                        <w:hideMark/>
                      </w:tcPr>
                      <w:p w:rsidR="00E57541" w:rsidRPr="00E57541" w:rsidRDefault="00E57541" w:rsidP="00E57541">
                        <w:pPr>
                          <w:spacing w:after="0" w:line="240" w:lineRule="auto"/>
                          <w:rPr>
                            <w:rFonts w:ascii="Calibri" w:eastAsia="宋体" w:hAnsi="Calibri" w:cs="Calibri"/>
                            <w:sz w:val="24"/>
                            <w:szCs w:val="24"/>
                          </w:rPr>
                        </w:pPr>
                        <w:r w:rsidRPr="00E57541">
                          <w:rPr>
                            <w:rFonts w:ascii="Calibri" w:eastAsia="宋体" w:hAnsi="Calibri" w:cs="Calibri"/>
                            <w:noProof/>
                          </w:rPr>
                          <w:drawing>
                            <wp:inline distT="0" distB="0" distL="0" distR="0" wp14:anchorId="608B864F" wp14:editId="76AC2B82">
                              <wp:extent cx="962025" cy="638175"/>
                              <wp:effectExtent l="0" t="0" r="9525" b="9525"/>
                              <wp:docPr id="17" name="Picture 17" descr="Description: http://www.joneslanglasallesites.com/eDM/imgs/news-release/jll-cn-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www.joneslanglasallesites.com/eDM/imgs/news-release/jll-cn-v1.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62025" cy="638175"/>
                                      </a:xfrm>
                                      <a:prstGeom prst="rect">
                                        <a:avLst/>
                                      </a:prstGeom>
                                      <a:noFill/>
                                      <a:ln>
                                        <a:noFill/>
                                      </a:ln>
                                    </pic:spPr>
                                  </pic:pic>
                                </a:graphicData>
                              </a:graphic>
                            </wp:inline>
                          </w:drawing>
                        </w:r>
                      </w:p>
                    </w:tc>
                    <w:tc>
                      <w:tcPr>
                        <w:tcW w:w="2700" w:type="pct"/>
                        <w:tcMar>
                          <w:top w:w="0" w:type="dxa"/>
                          <w:left w:w="0" w:type="dxa"/>
                          <w:bottom w:w="0" w:type="dxa"/>
                          <w:right w:w="105" w:type="dxa"/>
                        </w:tcMar>
                        <w:vAlign w:val="center"/>
                        <w:hideMark/>
                      </w:tcPr>
                      <w:p w:rsidR="00E57541" w:rsidRPr="00E57541" w:rsidRDefault="00E57541" w:rsidP="00E57541">
                        <w:pPr>
                          <w:spacing w:after="0" w:line="240" w:lineRule="auto"/>
                          <w:jc w:val="right"/>
                          <w:rPr>
                            <w:rFonts w:ascii="Times New Roman" w:eastAsia="宋体" w:hAnsi="Times New Roman" w:cs="Times New Roman"/>
                            <w:sz w:val="24"/>
                            <w:szCs w:val="24"/>
                          </w:rPr>
                        </w:pPr>
                        <w:r w:rsidRPr="00E57541">
                          <w:rPr>
                            <w:rFonts w:ascii="宋体" w:eastAsia="宋体" w:hAnsi="宋体" w:cs="Calibri" w:hint="eastAsia"/>
                            <w:color w:val="FFFFFF"/>
                            <w:sz w:val="60"/>
                            <w:szCs w:val="60"/>
                          </w:rPr>
                          <w:t>新闻稿</w:t>
                        </w:r>
                      </w:p>
                    </w:tc>
                  </w:tr>
                </w:tbl>
                <w:p w:rsidR="00E57541" w:rsidRPr="00E57541" w:rsidRDefault="00E57541" w:rsidP="00E57541">
                  <w:pPr>
                    <w:spacing w:after="0" w:line="240" w:lineRule="auto"/>
                    <w:rPr>
                      <w:rFonts w:ascii="Times New Roman" w:eastAsia="Times New Roman" w:hAnsi="Times New Roman" w:cs="Times New Roman"/>
                      <w:sz w:val="20"/>
                      <w:szCs w:val="20"/>
                    </w:rPr>
                  </w:pPr>
                </w:p>
              </w:tc>
            </w:tr>
            <w:tr w:rsidR="00E57541" w:rsidRPr="00E57541">
              <w:trPr>
                <w:tblCellSpacing w:w="0" w:type="dxa"/>
              </w:trPr>
              <w:tc>
                <w:tcPr>
                  <w:tcW w:w="0" w:type="auto"/>
                  <w:tcMar>
                    <w:top w:w="270" w:type="dxa"/>
                    <w:left w:w="0" w:type="dxa"/>
                    <w:bottom w:w="270" w:type="dxa"/>
                    <w:right w:w="375" w:type="dxa"/>
                  </w:tcMar>
                  <w:hideMark/>
                </w:tcPr>
                <w:tbl>
                  <w:tblPr>
                    <w:tblW w:w="3150" w:type="dxa"/>
                    <w:jc w:val="right"/>
                    <w:tblCellSpacing w:w="0" w:type="dxa"/>
                    <w:tblCellMar>
                      <w:left w:w="0" w:type="dxa"/>
                      <w:right w:w="0" w:type="dxa"/>
                    </w:tblCellMar>
                    <w:tblLook w:val="04A0" w:firstRow="1" w:lastRow="0" w:firstColumn="1" w:lastColumn="0" w:noHBand="0" w:noVBand="1"/>
                  </w:tblPr>
                  <w:tblGrid>
                    <w:gridCol w:w="525"/>
                    <w:gridCol w:w="525"/>
                    <w:gridCol w:w="525"/>
                    <w:gridCol w:w="525"/>
                    <w:gridCol w:w="525"/>
                    <w:gridCol w:w="525"/>
                  </w:tblGrid>
                  <w:tr w:rsidR="00E57541" w:rsidRPr="00E57541">
                    <w:trPr>
                      <w:tblCellSpacing w:w="0" w:type="dxa"/>
                      <w:jc w:val="right"/>
                    </w:trPr>
                    <w:tc>
                      <w:tcPr>
                        <w:tcW w:w="0" w:type="auto"/>
                        <w:hideMark/>
                      </w:tcPr>
                      <w:p w:rsidR="00E57541" w:rsidRPr="00E57541" w:rsidRDefault="00E57541" w:rsidP="00E57541">
                        <w:pPr>
                          <w:spacing w:after="0" w:line="240" w:lineRule="auto"/>
                          <w:jc w:val="right"/>
                          <w:rPr>
                            <w:rFonts w:ascii="Calibri" w:eastAsia="宋体" w:hAnsi="Calibri" w:cs="Calibri"/>
                            <w:sz w:val="24"/>
                            <w:szCs w:val="24"/>
                          </w:rPr>
                        </w:pPr>
                        <w:r w:rsidRPr="00E57541">
                          <w:rPr>
                            <w:rFonts w:ascii="Calibri" w:eastAsia="宋体" w:hAnsi="Calibri" w:cs="Calibri"/>
                            <w:noProof/>
                          </w:rPr>
                          <w:drawing>
                            <wp:inline distT="0" distB="0" distL="0" distR="0" wp14:anchorId="63AC6FEB" wp14:editId="39F98DF1">
                              <wp:extent cx="190500" cy="190500"/>
                              <wp:effectExtent l="0" t="0" r="0" b="0"/>
                              <wp:docPr id="18" name="Picture 16" descr="Description: http://www.joneslanglasallesites.com/eDM/imgs/news-release/share-button-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www.joneslanglasallesites.com/eDM/imgs/news-release/share-button-v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hideMark/>
                      </w:tcPr>
                      <w:p w:rsidR="00E57541" w:rsidRPr="00E57541" w:rsidRDefault="00E57541" w:rsidP="00E57541">
                        <w:pPr>
                          <w:spacing w:after="0" w:line="240" w:lineRule="auto"/>
                          <w:jc w:val="right"/>
                          <w:rPr>
                            <w:rFonts w:ascii="Calibri" w:eastAsia="宋体" w:hAnsi="Calibri" w:cs="Calibri"/>
                            <w:sz w:val="24"/>
                            <w:szCs w:val="24"/>
                          </w:rPr>
                        </w:pPr>
                        <w:r w:rsidRPr="00E57541">
                          <w:rPr>
                            <w:rFonts w:ascii="Calibri" w:eastAsia="宋体" w:hAnsi="Calibri" w:cs="Calibri"/>
                            <w:noProof/>
                          </w:rPr>
                          <w:drawing>
                            <wp:inline distT="0" distB="0" distL="0" distR="0" wp14:anchorId="694E87CD" wp14:editId="2DE3966E">
                              <wp:extent cx="190500" cy="190500"/>
                              <wp:effectExtent l="0" t="0" r="0" b="0"/>
                              <wp:docPr id="19" name="Picture 15" descr="Description: http://www.joneslanglasallesites.com/eDM/imgs/news-release/share-button-linkedin-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http://www.joneslanglasallesites.com/eDM/imgs/news-release/share-button-linkedin-v1.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hideMark/>
                      </w:tcPr>
                      <w:p w:rsidR="00E57541" w:rsidRPr="00E57541" w:rsidRDefault="00E57541" w:rsidP="00E57541">
                        <w:pPr>
                          <w:spacing w:after="0" w:line="240" w:lineRule="auto"/>
                          <w:jc w:val="right"/>
                          <w:rPr>
                            <w:rFonts w:ascii="Calibri" w:eastAsia="宋体" w:hAnsi="Calibri" w:cs="Calibri"/>
                            <w:sz w:val="24"/>
                            <w:szCs w:val="24"/>
                          </w:rPr>
                        </w:pPr>
                        <w:r w:rsidRPr="00E57541">
                          <w:rPr>
                            <w:rFonts w:ascii="Calibri" w:eastAsia="宋体" w:hAnsi="Calibri" w:cs="Calibri"/>
                            <w:noProof/>
                          </w:rPr>
                          <w:drawing>
                            <wp:inline distT="0" distB="0" distL="0" distR="0" wp14:anchorId="04BC9FDD" wp14:editId="2E0F0CA6">
                              <wp:extent cx="190500" cy="190500"/>
                              <wp:effectExtent l="0" t="0" r="0" b="0"/>
                              <wp:docPr id="20" name="Picture 14" descr="Description: http://www.joneslanglasallesites.com/eDM/imgs/news-release/share-button-twitter-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www.joneslanglasallesites.com/eDM/imgs/news-release/share-button-twitter-v1.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hideMark/>
                      </w:tcPr>
                      <w:p w:rsidR="00E57541" w:rsidRPr="00E57541" w:rsidRDefault="00E57541" w:rsidP="00E57541">
                        <w:pPr>
                          <w:spacing w:after="0" w:line="240" w:lineRule="auto"/>
                          <w:jc w:val="right"/>
                          <w:rPr>
                            <w:rFonts w:ascii="Calibri" w:eastAsia="宋体" w:hAnsi="Calibri" w:cs="Calibri"/>
                            <w:sz w:val="24"/>
                            <w:szCs w:val="24"/>
                          </w:rPr>
                        </w:pPr>
                        <w:r w:rsidRPr="00E57541">
                          <w:rPr>
                            <w:rFonts w:ascii="Calibri" w:eastAsia="宋体" w:hAnsi="Calibri" w:cs="Calibri"/>
                            <w:noProof/>
                          </w:rPr>
                          <w:drawing>
                            <wp:inline distT="0" distB="0" distL="0" distR="0" wp14:anchorId="534D9356" wp14:editId="31BD330F">
                              <wp:extent cx="190500" cy="190500"/>
                              <wp:effectExtent l="0" t="0" r="0" b="0"/>
                              <wp:docPr id="21" name="Picture 13" descr="Description: http://www.joneslanglasallesites.com/eDM/imgs/news-release/share-button-facebook-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www.joneslanglasallesites.com/eDM/imgs/news-release/share-button-facebook-v1.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hideMark/>
                      </w:tcPr>
                      <w:p w:rsidR="00E57541" w:rsidRPr="00E57541" w:rsidRDefault="00E57541" w:rsidP="00E57541">
                        <w:pPr>
                          <w:spacing w:after="0" w:line="240" w:lineRule="auto"/>
                          <w:jc w:val="right"/>
                          <w:rPr>
                            <w:rFonts w:ascii="Calibri" w:eastAsia="宋体" w:hAnsi="Calibri" w:cs="Calibri"/>
                            <w:sz w:val="24"/>
                            <w:szCs w:val="24"/>
                          </w:rPr>
                        </w:pPr>
                        <w:r w:rsidRPr="00E57541">
                          <w:rPr>
                            <w:rFonts w:ascii="Calibri" w:eastAsia="宋体" w:hAnsi="Calibri" w:cs="Calibri"/>
                            <w:noProof/>
                          </w:rPr>
                          <w:drawing>
                            <wp:inline distT="0" distB="0" distL="0" distR="0" wp14:anchorId="621A30F8" wp14:editId="1E00CBC0">
                              <wp:extent cx="190500" cy="190500"/>
                              <wp:effectExtent l="0" t="0" r="0" b="0"/>
                              <wp:docPr id="22" name="Picture 12" descr="Description: http://www.joneslanglasallesites.com/eDM/imgs/news-release/share-button-googleplus-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http://www.joneslanglasallesites.com/eDM/imgs/news-release/share-button-googleplus-v1.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hideMark/>
                      </w:tcPr>
                      <w:p w:rsidR="00E57541" w:rsidRPr="00E57541" w:rsidRDefault="00E57541" w:rsidP="00E57541">
                        <w:pPr>
                          <w:spacing w:after="0" w:line="240" w:lineRule="auto"/>
                          <w:jc w:val="right"/>
                          <w:rPr>
                            <w:rFonts w:ascii="Calibri" w:eastAsia="宋体" w:hAnsi="Calibri" w:cs="Calibri"/>
                            <w:sz w:val="24"/>
                            <w:szCs w:val="24"/>
                          </w:rPr>
                        </w:pPr>
                        <w:r w:rsidRPr="00E57541">
                          <w:rPr>
                            <w:rFonts w:ascii="Calibri" w:eastAsia="宋体" w:hAnsi="Calibri" w:cs="Calibri"/>
                            <w:noProof/>
                          </w:rPr>
                          <w:drawing>
                            <wp:inline distT="0" distB="0" distL="0" distR="0" wp14:anchorId="21D5750F" wp14:editId="4B9D783C">
                              <wp:extent cx="190500" cy="190500"/>
                              <wp:effectExtent l="0" t="0" r="0" b="0"/>
                              <wp:docPr id="23" name="Picture 11" descr="Description: http://www.joneslanglasallesites.com/eDM/imgs/news-release/share-button-cn-weibo-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www.joneslanglasallesites.com/eDM/imgs/news-release/share-button-cn-weibo-v1.pn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E57541" w:rsidRPr="00E57541" w:rsidRDefault="00E57541" w:rsidP="00E57541">
                  <w:pPr>
                    <w:spacing w:after="0" w:line="240" w:lineRule="auto"/>
                    <w:jc w:val="right"/>
                    <w:rPr>
                      <w:rFonts w:ascii="Times New Roman" w:eastAsia="Times New Roman" w:hAnsi="Times New Roman" w:cs="Times New Roman"/>
                      <w:sz w:val="20"/>
                      <w:szCs w:val="20"/>
                    </w:rPr>
                  </w:pPr>
                </w:p>
              </w:tc>
            </w:tr>
            <w:tr w:rsidR="00E57541" w:rsidRPr="00E57541">
              <w:trPr>
                <w:tblCellSpacing w:w="0" w:type="dxa"/>
              </w:trPr>
              <w:tc>
                <w:tcPr>
                  <w:tcW w:w="0" w:type="auto"/>
                  <w:tcMar>
                    <w:top w:w="0" w:type="dxa"/>
                    <w:left w:w="450" w:type="dxa"/>
                    <w:bottom w:w="270" w:type="dxa"/>
                    <w:right w:w="450" w:type="dxa"/>
                  </w:tcMar>
                </w:tcPr>
                <w:p w:rsidR="00F95F3C" w:rsidRDefault="00264DAB" w:rsidP="00F95F3C">
                  <w:pPr>
                    <w:pStyle w:val="JLLPRbodytext"/>
                    <w:rPr>
                      <w:rFonts w:ascii="宋体" w:hAnsi="宋体" w:hint="eastAsia"/>
                      <w:lang w:eastAsia="zh-CN"/>
                    </w:rPr>
                  </w:pPr>
                  <w:proofErr w:type="gramStart"/>
                  <w:r w:rsidRPr="00264DAB">
                    <w:rPr>
                      <w:rFonts w:ascii="宋体" w:eastAsia="宋体" w:hAnsi="宋体" w:cs="宋体" w:hint="eastAsia"/>
                      <w:b/>
                      <w:bCs/>
                      <w:sz w:val="32"/>
                      <w:szCs w:val="32"/>
                      <w:lang w:eastAsia="zh-CN"/>
                    </w:rPr>
                    <w:t>仲量联行</w:t>
                  </w:r>
                  <w:proofErr w:type="gramEnd"/>
                  <w:r w:rsidRPr="00264DAB">
                    <w:rPr>
                      <w:rFonts w:ascii="宋体" w:eastAsia="宋体" w:hAnsi="宋体" w:cs="宋体" w:hint="eastAsia"/>
                      <w:b/>
                      <w:bCs/>
                      <w:sz w:val="32"/>
                      <w:szCs w:val="32"/>
                      <w:lang w:eastAsia="zh-CN"/>
                    </w:rPr>
                    <w:t>：</w:t>
                  </w:r>
                  <w:r w:rsidR="006528E5" w:rsidRPr="006528E5">
                    <w:rPr>
                      <w:rFonts w:ascii="宋体" w:eastAsia="宋体" w:hAnsi="宋体" w:cs="宋体" w:hint="eastAsia"/>
                      <w:b/>
                      <w:bCs/>
                      <w:sz w:val="32"/>
                      <w:szCs w:val="32"/>
                      <w:lang w:eastAsia="zh-CN"/>
                    </w:rPr>
                    <w:t>福建自贸区带来重大利好，厦门办公</w:t>
                  </w:r>
                  <w:proofErr w:type="gramStart"/>
                  <w:r w:rsidR="006528E5" w:rsidRPr="006528E5">
                    <w:rPr>
                      <w:rFonts w:ascii="宋体" w:eastAsia="宋体" w:hAnsi="宋体" w:cs="宋体" w:hint="eastAsia"/>
                      <w:b/>
                      <w:bCs/>
                      <w:sz w:val="32"/>
                      <w:szCs w:val="32"/>
                      <w:lang w:eastAsia="zh-CN"/>
                    </w:rPr>
                    <w:t>楼市场成最大</w:t>
                  </w:r>
                  <w:proofErr w:type="gramEnd"/>
                  <w:r w:rsidR="006528E5" w:rsidRPr="006528E5">
                    <w:rPr>
                      <w:rFonts w:ascii="宋体" w:eastAsia="宋体" w:hAnsi="宋体" w:cs="宋体" w:hint="eastAsia"/>
                      <w:b/>
                      <w:bCs/>
                      <w:sz w:val="32"/>
                      <w:szCs w:val="32"/>
                      <w:lang w:eastAsia="zh-CN"/>
                    </w:rPr>
                    <w:t>赢家</w:t>
                  </w:r>
                  <w:r w:rsidR="00E57541" w:rsidRPr="00E57541">
                    <w:rPr>
                      <w:rFonts w:ascii="宋体" w:eastAsia="宋体" w:hAnsi="宋体" w:cs="宋体" w:hint="eastAsia"/>
                      <w:i/>
                      <w:iCs/>
                      <w:color w:val="000000"/>
                      <w:sz w:val="28"/>
                      <w:szCs w:val="28"/>
                      <w:lang w:val="en-GB" w:eastAsia="zh-CN"/>
                    </w:rPr>
                    <w:br/>
                  </w:r>
                  <w:r w:rsidR="00E57541" w:rsidRPr="00E57541">
                    <w:rPr>
                      <w:rFonts w:ascii="Arial" w:eastAsia="宋体" w:hAnsi="Arial" w:cs="Arial"/>
                      <w:i/>
                      <w:iCs/>
                      <w:color w:val="000000"/>
                      <w:sz w:val="28"/>
                      <w:szCs w:val="28"/>
                      <w:lang w:val="en-GB" w:eastAsia="zh-CN"/>
                    </w:rPr>
                    <w:br/>
                  </w:r>
                  <w:r w:rsidR="00F95F3C">
                    <w:rPr>
                      <w:rFonts w:ascii="Arial" w:hAnsi="Arial" w:cs="Arial"/>
                      <w:b/>
                      <w:bCs/>
                      <w:lang w:eastAsia="zh-CN"/>
                    </w:rPr>
                    <w:t>2015</w:t>
                  </w:r>
                  <w:r w:rsidR="00F95F3C">
                    <w:rPr>
                      <w:rFonts w:ascii="宋体" w:hAnsi="宋体" w:hint="eastAsia"/>
                      <w:b/>
                      <w:bCs/>
                      <w:lang w:eastAsia="zh-CN"/>
                    </w:rPr>
                    <w:t>年</w:t>
                  </w:r>
                  <w:r w:rsidR="00B37666">
                    <w:rPr>
                      <w:rFonts w:ascii="Arial" w:hAnsi="Arial" w:cs="Arial" w:hint="eastAsia"/>
                      <w:b/>
                      <w:bCs/>
                      <w:lang w:eastAsia="zh-CN"/>
                    </w:rPr>
                    <w:t>9</w:t>
                  </w:r>
                  <w:r w:rsidR="00F95F3C">
                    <w:rPr>
                      <w:rFonts w:ascii="宋体" w:hAnsi="宋体" w:hint="eastAsia"/>
                      <w:b/>
                      <w:bCs/>
                      <w:lang w:eastAsia="zh-CN"/>
                    </w:rPr>
                    <w:t>月</w:t>
                  </w:r>
                  <w:r w:rsidR="00B37666">
                    <w:rPr>
                      <w:rFonts w:ascii="Arial" w:hAnsi="Arial" w:cs="Arial" w:hint="eastAsia"/>
                      <w:b/>
                      <w:bCs/>
                      <w:lang w:eastAsia="zh-CN"/>
                    </w:rPr>
                    <w:t>2</w:t>
                  </w:r>
                  <w:r w:rsidR="00F95F3C">
                    <w:rPr>
                      <w:rFonts w:ascii="宋体" w:hAnsi="宋体" w:hint="eastAsia"/>
                      <w:b/>
                      <w:bCs/>
                      <w:lang w:eastAsia="zh-CN"/>
                    </w:rPr>
                    <w:t>日</w:t>
                  </w:r>
                  <w:r w:rsidR="00F95F3C">
                    <w:rPr>
                      <w:rFonts w:ascii="Arial" w:hAnsi="Arial" w:cs="Arial"/>
                      <w:b/>
                      <w:bCs/>
                      <w:lang w:eastAsia="zh-CN"/>
                    </w:rPr>
                    <w:t xml:space="preserve"> </w:t>
                  </w:r>
                  <w:r w:rsidR="00F95F3C">
                    <w:rPr>
                      <w:rFonts w:ascii="Arial" w:hAnsi="Arial" w:cs="Arial"/>
                      <w:lang w:val="en-GB" w:eastAsia="zh-CN"/>
                    </w:rPr>
                    <w:t>–</w:t>
                  </w:r>
                  <w:r w:rsidR="00B37666" w:rsidRPr="00B37666">
                    <w:rPr>
                      <w:rFonts w:ascii="宋体" w:hAnsi="宋体" w:hint="eastAsia"/>
                      <w:lang w:eastAsia="zh-CN"/>
                    </w:rPr>
                    <w:t>厦门作为中国（福建）自由贸易试验区（“福建自贸区”）的片区之一，将聚焦两岸金融服务、新兴产业、航运和物流等领域。福建自贸区的宗旨是推动海峡两岸的经济合作，三个片区的重点行业略有不同。福州将瞄准高端装备制造、航空及专业服务等行业；平潭将着力于推动旅游、商贸和投资。福建自贸区厦门片区面积约为43.8平方公里，主要由东南国际航运中心（24.4平方公里）和两岸贸易中心核心区（19.4平方公里）组成。</w:t>
                  </w:r>
                </w:p>
                <w:p w:rsidR="00B37666" w:rsidRDefault="00B37666" w:rsidP="00B37666">
                  <w:pPr>
                    <w:pStyle w:val="JLLPRbodytext"/>
                    <w:spacing w:line="240" w:lineRule="auto"/>
                    <w:jc w:val="center"/>
                    <w:rPr>
                      <w:rFonts w:ascii="宋体" w:hAnsi="宋体" w:hint="eastAsia"/>
                      <w:lang w:eastAsia="zh-CN"/>
                    </w:rPr>
                  </w:pPr>
                  <w:r>
                    <w:rPr>
                      <w:rFonts w:ascii="Arial" w:hAnsi="Arial" w:cs="Arial" w:hint="eastAsia"/>
                      <w:noProof/>
                      <w:color w:val="000000"/>
                      <w:sz w:val="24"/>
                      <w:szCs w:val="24"/>
                      <w:lang w:eastAsia="zh-CN"/>
                    </w:rPr>
                    <w:drawing>
                      <wp:inline distT="0" distB="0" distL="0" distR="0">
                        <wp:extent cx="4591050" cy="3438525"/>
                        <wp:effectExtent l="0" t="0" r="0" b="9525"/>
                        <wp:docPr id="1" name="图片 1" descr="FJ FTZ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 FTZ MA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91050" cy="3438525"/>
                                </a:xfrm>
                                <a:prstGeom prst="rect">
                                  <a:avLst/>
                                </a:prstGeom>
                                <a:noFill/>
                                <a:ln>
                                  <a:noFill/>
                                </a:ln>
                              </pic:spPr>
                            </pic:pic>
                          </a:graphicData>
                        </a:graphic>
                      </wp:inline>
                    </w:drawing>
                  </w:r>
                </w:p>
                <w:p w:rsidR="00B37666" w:rsidRPr="00B37666" w:rsidRDefault="00B37666" w:rsidP="00B37666">
                  <w:pPr>
                    <w:pStyle w:val="JLLPRbodytext"/>
                    <w:spacing w:line="240" w:lineRule="auto"/>
                    <w:jc w:val="center"/>
                    <w:rPr>
                      <w:rFonts w:ascii="宋体" w:hAnsi="宋体" w:hint="eastAsia"/>
                      <w:sz w:val="20"/>
                      <w:lang w:eastAsia="zh-CN"/>
                    </w:rPr>
                  </w:pPr>
                  <w:r w:rsidRPr="00B37666">
                    <w:rPr>
                      <w:rFonts w:ascii="宋体" w:hAnsi="宋体" w:hint="eastAsia"/>
                      <w:sz w:val="20"/>
                      <w:lang w:eastAsia="zh-CN"/>
                    </w:rPr>
                    <w:t>来源：</w:t>
                  </w:r>
                  <w:proofErr w:type="gramStart"/>
                  <w:r w:rsidRPr="00B37666">
                    <w:rPr>
                      <w:rFonts w:ascii="宋体" w:hAnsi="宋体" w:hint="eastAsia"/>
                      <w:sz w:val="20"/>
                      <w:lang w:eastAsia="zh-CN"/>
                    </w:rPr>
                    <w:t>仲量联行</w:t>
                  </w:r>
                  <w:proofErr w:type="gramEnd"/>
                </w:p>
                <w:p w:rsidR="00B37666" w:rsidRPr="00B37666" w:rsidRDefault="00B37666" w:rsidP="00B37666">
                  <w:pPr>
                    <w:spacing w:before="100" w:beforeAutospacing="1" w:after="100" w:afterAutospacing="1" w:line="240" w:lineRule="auto"/>
                    <w:jc w:val="both"/>
                    <w:rPr>
                      <w:rFonts w:ascii="Arial" w:hAnsi="Arial" w:cs="Arial" w:hint="eastAsia"/>
                      <w:color w:val="000000"/>
                      <w:szCs w:val="24"/>
                    </w:rPr>
                  </w:pPr>
                  <w:r w:rsidRPr="00B37666">
                    <w:rPr>
                      <w:rFonts w:hint="eastAsia"/>
                      <w:szCs w:val="24"/>
                    </w:rPr>
                    <w:t>外国企业可通过设立独资或合资公司等形式在福建自贸区落户。福建自贸区的准入行业十分广泛，虽然之前旨在推动两岸服务市场的开放</w:t>
                  </w:r>
                  <w:r w:rsidRPr="00B37666">
                    <w:rPr>
                      <w:szCs w:val="24"/>
                    </w:rPr>
                    <w:t>《海峡两岸服务贸易协议》</w:t>
                  </w:r>
                  <w:r w:rsidRPr="00B37666">
                    <w:rPr>
                      <w:rFonts w:hint="eastAsia"/>
                      <w:szCs w:val="24"/>
                    </w:rPr>
                    <w:t>最终并未审核通过，但是如今的福建自贸区将为台湾企业和投资者重新打开机会之窗，使他们在大陆服务市场的业务不断发展壮大。</w:t>
                  </w:r>
                </w:p>
                <w:p w:rsidR="00B37666" w:rsidRPr="00B37666" w:rsidRDefault="00B37666" w:rsidP="00B37666">
                  <w:pPr>
                    <w:spacing w:before="100" w:beforeAutospacing="1" w:after="100" w:afterAutospacing="1" w:line="240" w:lineRule="auto"/>
                    <w:jc w:val="both"/>
                    <w:rPr>
                      <w:rFonts w:ascii="Arial" w:hAnsi="Arial" w:cs="Arial" w:hint="eastAsia"/>
                      <w:color w:val="000000"/>
                      <w:szCs w:val="24"/>
                    </w:rPr>
                  </w:pPr>
                  <w:proofErr w:type="gramStart"/>
                  <w:r w:rsidRPr="00B37666">
                    <w:rPr>
                      <w:rFonts w:hint="eastAsia"/>
                      <w:b/>
                    </w:rPr>
                    <w:t>仲量联行</w:t>
                  </w:r>
                  <w:proofErr w:type="gramEnd"/>
                  <w:r w:rsidRPr="00B37666">
                    <w:rPr>
                      <w:rFonts w:hint="eastAsia"/>
                    </w:rPr>
                    <w:t>研究部经理</w:t>
                  </w:r>
                  <w:r w:rsidRPr="00B37666">
                    <w:rPr>
                      <w:rFonts w:hint="eastAsia"/>
                      <w:b/>
                    </w:rPr>
                    <w:t>林治宇</w:t>
                  </w:r>
                  <w:r w:rsidRPr="00B37666">
                    <w:rPr>
                      <w:rFonts w:hint="eastAsia"/>
                    </w:rPr>
                    <w:t>表示，作为福建省最国际化的城市，厦门的办公楼市场预计将是福建自贸区最大的受益者。作为办公楼市场的利好因素，不仅将有大量台资企业涌入、落户本市，而且将有大量大陆企业在自贸区厦门片区与台资企业合资或为它们提供服务。例如，台湾的银行将获准在自贸区内提供人民币贷款。这将为内资企业带来一个全新的融资渠道，预计将受到那些融资渠道有限的中小型企业的欢迎。但是台湾银行不能自行发放贷款，而需与内地金融机构合作开展资金结算业务。此外，如要取得在厦门自贸片区发放的</w:t>
                  </w:r>
                  <w:r w:rsidRPr="00B37666">
                    <w:rPr>
                      <w:rFonts w:hint="eastAsia"/>
                    </w:rPr>
                    <w:lastRenderedPageBreak/>
                    <w:t>跨境借款的资格，内资企业须首先在厦门注册。此要求将进一步支撑本市的办公楼需求。</w:t>
                  </w:r>
                </w:p>
                <w:p w:rsidR="00B37666" w:rsidRPr="00B37666" w:rsidRDefault="00B37666" w:rsidP="00B37666">
                  <w:pPr>
                    <w:spacing w:before="100" w:beforeAutospacing="1" w:after="100" w:afterAutospacing="1" w:line="240" w:lineRule="auto"/>
                    <w:jc w:val="both"/>
                    <w:rPr>
                      <w:rFonts w:ascii="Arial" w:hAnsi="Arial" w:cs="Arial" w:hint="eastAsia"/>
                      <w:szCs w:val="24"/>
                    </w:rPr>
                  </w:pPr>
                  <w:r w:rsidRPr="00B37666">
                    <w:rPr>
                      <w:rFonts w:ascii="Arial" w:hAnsi="Arial" w:cs="Arial" w:hint="eastAsia"/>
                      <w:bCs/>
                      <w:color w:val="000000"/>
                      <w:szCs w:val="24"/>
                    </w:rPr>
                    <w:t>有迹象显示，福建自贸区已开始吸引越来越多的国内外企业入驻厦门。在</w:t>
                  </w:r>
                  <w:r w:rsidRPr="00B37666">
                    <w:rPr>
                      <w:rFonts w:ascii="Arial" w:hAnsi="Arial" w:cs="Arial" w:hint="eastAsia"/>
                      <w:bCs/>
                      <w:color w:val="000000"/>
                      <w:szCs w:val="24"/>
                    </w:rPr>
                    <w:t>2015</w:t>
                  </w:r>
                  <w:r w:rsidRPr="00B37666">
                    <w:rPr>
                      <w:rFonts w:ascii="Arial" w:hAnsi="Arial" w:cs="Arial" w:hint="eastAsia"/>
                      <w:bCs/>
                      <w:color w:val="000000"/>
                      <w:szCs w:val="24"/>
                    </w:rPr>
                    <w:t>年上半年，在厦门自贸区注册的新公司总数已达</w:t>
                  </w:r>
                  <w:r w:rsidRPr="00B37666">
                    <w:rPr>
                      <w:rFonts w:ascii="Arial" w:hAnsi="Arial" w:cs="Arial" w:hint="eastAsia"/>
                      <w:bCs/>
                      <w:color w:val="000000"/>
                      <w:szCs w:val="24"/>
                    </w:rPr>
                    <w:t>2014</w:t>
                  </w:r>
                  <w:r w:rsidRPr="00B37666">
                    <w:rPr>
                      <w:rFonts w:ascii="Arial" w:hAnsi="Arial" w:cs="Arial" w:hint="eastAsia"/>
                      <w:bCs/>
                      <w:color w:val="000000"/>
                      <w:szCs w:val="24"/>
                    </w:rPr>
                    <w:t>年同一片区新公司数量的三倍。这些公司主要从事金融、贸易及其他现代服务业，这些行业一般对房地产有较高要求，且愿意支付较高租金。鉴于目前自贸区内的办公楼空间有限，这些新增需求将对厦门的整体办公楼市场，尤其是甲级办公楼市场起到积极作用，并带动租户对办公设施的升级需求。</w:t>
                  </w:r>
                  <w:proofErr w:type="gramStart"/>
                  <w:r w:rsidRPr="00B37666">
                    <w:rPr>
                      <w:rFonts w:ascii="Arial" w:hAnsi="Arial" w:cs="Arial" w:hint="eastAsia"/>
                      <w:b/>
                      <w:bCs/>
                      <w:color w:val="000000"/>
                      <w:szCs w:val="24"/>
                    </w:rPr>
                    <w:t>仲量联行</w:t>
                  </w:r>
                  <w:proofErr w:type="gramEnd"/>
                  <w:r w:rsidRPr="00B37666">
                    <w:rPr>
                      <w:rFonts w:ascii="Arial" w:hAnsi="Arial" w:cs="Arial" w:hint="eastAsia"/>
                      <w:bCs/>
                      <w:color w:val="000000"/>
                      <w:szCs w:val="24"/>
                    </w:rPr>
                    <w:t>监测数据显示，</w:t>
                  </w:r>
                  <w:r w:rsidRPr="00B37666">
                    <w:rPr>
                      <w:rFonts w:ascii="Arial" w:hAnsi="Arial" w:cs="Arial" w:hint="eastAsia"/>
                      <w:bCs/>
                      <w:color w:val="000000"/>
                      <w:szCs w:val="24"/>
                    </w:rPr>
                    <w:t>2015</w:t>
                  </w:r>
                  <w:r w:rsidRPr="00B37666">
                    <w:rPr>
                      <w:rFonts w:ascii="Arial" w:hAnsi="Arial" w:cs="Arial" w:hint="eastAsia"/>
                      <w:bCs/>
                      <w:color w:val="000000"/>
                      <w:szCs w:val="24"/>
                    </w:rPr>
                    <w:t>年上半年，</w:t>
                  </w:r>
                  <w:proofErr w:type="gramStart"/>
                  <w:r w:rsidRPr="00B37666">
                    <w:rPr>
                      <w:rFonts w:ascii="Arial" w:hAnsi="Arial" w:cs="Arial" w:hint="eastAsia"/>
                      <w:bCs/>
                      <w:color w:val="000000"/>
                      <w:szCs w:val="24"/>
                    </w:rPr>
                    <w:t>厦门市甲级</w:t>
                  </w:r>
                  <w:proofErr w:type="gramEnd"/>
                  <w:r w:rsidRPr="00B37666">
                    <w:rPr>
                      <w:rFonts w:ascii="Arial" w:hAnsi="Arial" w:cs="Arial" w:hint="eastAsia"/>
                      <w:bCs/>
                      <w:color w:val="000000"/>
                      <w:szCs w:val="24"/>
                    </w:rPr>
                    <w:t>办公楼市场整体空置率下降</w:t>
                  </w:r>
                  <w:r w:rsidRPr="00B37666">
                    <w:rPr>
                      <w:rFonts w:ascii="Arial" w:hAnsi="Arial" w:cs="Arial" w:hint="eastAsia"/>
                      <w:bCs/>
                      <w:color w:val="000000"/>
                      <w:szCs w:val="24"/>
                    </w:rPr>
                    <w:t>8.6</w:t>
                  </w:r>
                  <w:r w:rsidRPr="00B37666">
                    <w:rPr>
                      <w:rFonts w:ascii="Arial" w:hAnsi="Arial" w:cs="Arial" w:hint="eastAsia"/>
                      <w:bCs/>
                      <w:color w:val="000000"/>
                      <w:szCs w:val="24"/>
                    </w:rPr>
                    <w:t>个百分点，平均租金达</w:t>
                  </w:r>
                  <w:r w:rsidRPr="00B37666">
                    <w:rPr>
                      <w:rFonts w:ascii="Arial" w:hAnsi="Arial" w:cs="Arial" w:hint="eastAsia"/>
                      <w:bCs/>
                      <w:color w:val="000000"/>
                      <w:szCs w:val="24"/>
                    </w:rPr>
                    <w:t>116</w:t>
                  </w:r>
                  <w:r w:rsidRPr="00B37666">
                    <w:rPr>
                      <w:rFonts w:ascii="Arial" w:hAnsi="Arial" w:cs="Arial" w:hint="eastAsia"/>
                      <w:bCs/>
                      <w:color w:val="000000"/>
                      <w:szCs w:val="24"/>
                    </w:rPr>
                    <w:t>元每平方米（建筑面积）。</w:t>
                  </w:r>
                </w:p>
                <w:p w:rsidR="00B37666" w:rsidRDefault="00B37666" w:rsidP="00F95F3C">
                  <w:pPr>
                    <w:pStyle w:val="JLLPRbodytext"/>
                    <w:rPr>
                      <w:rFonts w:ascii="宋体" w:hAnsi="宋体" w:hint="eastAsia"/>
                      <w:lang w:eastAsia="zh-CN"/>
                    </w:rPr>
                  </w:pPr>
                </w:p>
                <w:p w:rsidR="00E57541" w:rsidRPr="00E57541" w:rsidRDefault="00E57541" w:rsidP="00F95F3C">
                  <w:pPr>
                    <w:spacing w:after="140" w:line="320" w:lineRule="exact"/>
                    <w:jc w:val="both"/>
                    <w:rPr>
                      <w:rFonts w:ascii="Calibri" w:eastAsia="宋体" w:hAnsi="Calibri" w:cs="Calibri"/>
                      <w:sz w:val="24"/>
                      <w:szCs w:val="24"/>
                      <w:lang w:val="en-GB"/>
                    </w:rPr>
                  </w:pPr>
                </w:p>
              </w:tc>
            </w:tr>
            <w:tr w:rsidR="00E57541" w:rsidRPr="00E57541">
              <w:trPr>
                <w:tblCellSpacing w:w="0" w:type="dxa"/>
              </w:trPr>
              <w:tc>
                <w:tcPr>
                  <w:tcW w:w="0" w:type="auto"/>
                  <w:tcMar>
                    <w:top w:w="0" w:type="dxa"/>
                    <w:left w:w="450" w:type="dxa"/>
                    <w:bottom w:w="270" w:type="dxa"/>
                    <w:right w:w="450" w:type="dxa"/>
                  </w:tcMar>
                  <w:hideMark/>
                </w:tcPr>
                <w:p w:rsidR="00E57541" w:rsidRPr="00E57541" w:rsidRDefault="00E57541" w:rsidP="00E57541">
                  <w:pPr>
                    <w:spacing w:after="0" w:line="240" w:lineRule="auto"/>
                    <w:jc w:val="center"/>
                    <w:rPr>
                      <w:rFonts w:ascii="宋体" w:eastAsia="宋体" w:hAnsi="宋体" w:cs="Calibri"/>
                    </w:rPr>
                  </w:pPr>
                  <w:r w:rsidRPr="00E57541">
                    <w:rPr>
                      <w:rFonts w:ascii="宋体" w:eastAsia="宋体" w:hAnsi="宋体" w:cs="Calibri" w:hint="eastAsia"/>
                      <w:color w:val="000000"/>
                    </w:rPr>
                    <w:lastRenderedPageBreak/>
                    <w:t xml:space="preserve">- 完 - </w:t>
                  </w:r>
                </w:p>
              </w:tc>
            </w:tr>
            <w:tr w:rsidR="00E57541" w:rsidRPr="00E57541">
              <w:trPr>
                <w:tblCellSpacing w:w="0" w:type="dxa"/>
              </w:trPr>
              <w:tc>
                <w:tcPr>
                  <w:tcW w:w="0" w:type="auto"/>
                  <w:tcMar>
                    <w:top w:w="0" w:type="dxa"/>
                    <w:left w:w="450" w:type="dxa"/>
                    <w:bottom w:w="600" w:type="dxa"/>
                    <w:right w:w="450" w:type="dxa"/>
                  </w:tcMar>
                  <w:hideMark/>
                </w:tcPr>
                <w:tbl>
                  <w:tblPr>
                    <w:tblW w:w="2914" w:type="pct"/>
                    <w:tblCellSpacing w:w="0" w:type="dxa"/>
                    <w:tblCellMar>
                      <w:left w:w="0" w:type="dxa"/>
                      <w:right w:w="0" w:type="dxa"/>
                    </w:tblCellMar>
                    <w:tblLook w:val="04A0" w:firstRow="1" w:lastRow="0" w:firstColumn="1" w:lastColumn="0" w:noHBand="0" w:noVBand="1"/>
                  </w:tblPr>
                  <w:tblGrid>
                    <w:gridCol w:w="1242"/>
                    <w:gridCol w:w="2395"/>
                    <w:gridCol w:w="2395"/>
                  </w:tblGrid>
                  <w:tr w:rsidR="00B37666" w:rsidRPr="00E57541" w:rsidTr="00E57541">
                    <w:trPr>
                      <w:tblCellSpacing w:w="0" w:type="dxa"/>
                    </w:trPr>
                    <w:tc>
                      <w:tcPr>
                        <w:tcW w:w="1030" w:type="pct"/>
                        <w:hideMark/>
                      </w:tcPr>
                      <w:p w:rsidR="00B37666" w:rsidRPr="00E57541" w:rsidRDefault="00B37666" w:rsidP="00E57541">
                        <w:pPr>
                          <w:spacing w:after="0" w:line="280" w:lineRule="atLeast"/>
                          <w:rPr>
                            <w:rFonts w:ascii="Times New Roman" w:eastAsia="宋体" w:hAnsi="Times New Roman" w:cs="Times New Roman"/>
                            <w:sz w:val="24"/>
                            <w:szCs w:val="24"/>
                          </w:rPr>
                        </w:pPr>
                        <w:r w:rsidRPr="00E57541">
                          <w:rPr>
                            <w:rFonts w:ascii="宋体" w:eastAsia="宋体" w:hAnsi="宋体" w:cs="Calibri" w:hint="eastAsia"/>
                          </w:rPr>
                          <w:t>联系人</w:t>
                        </w:r>
                        <w:r w:rsidRPr="00E57541">
                          <w:rPr>
                            <w:rFonts w:ascii="宋体" w:eastAsia="宋体" w:hAnsi="宋体" w:cs="Calibri" w:hint="eastAsia"/>
                            <w:color w:val="000000"/>
                          </w:rPr>
                          <w:t>：</w:t>
                        </w:r>
                      </w:p>
                    </w:tc>
                    <w:tc>
                      <w:tcPr>
                        <w:tcW w:w="1985" w:type="pct"/>
                        <w:hideMark/>
                      </w:tcPr>
                      <w:p w:rsidR="00B37666" w:rsidRDefault="00B37666">
                        <w:pPr>
                          <w:spacing w:line="280" w:lineRule="exact"/>
                          <w:rPr>
                            <w:rFonts w:ascii="宋体" w:eastAsia="宋体" w:hAnsi="宋体" w:cs="Calibri"/>
                            <w:sz w:val="23"/>
                            <w:szCs w:val="23"/>
                          </w:rPr>
                        </w:pPr>
                        <w:r>
                          <w:rPr>
                            <w:rFonts w:ascii="宋体" w:eastAsia="宋体" w:hAnsi="宋体" w:hint="eastAsia"/>
                            <w:sz w:val="23"/>
                            <w:szCs w:val="23"/>
                          </w:rPr>
                          <w:t>林治宇</w:t>
                        </w:r>
                      </w:p>
                    </w:tc>
                    <w:tc>
                      <w:tcPr>
                        <w:tcW w:w="1985" w:type="pct"/>
                      </w:tcPr>
                      <w:p w:rsidR="00B37666" w:rsidRPr="00E57541" w:rsidRDefault="00B37666" w:rsidP="00554C0D">
                        <w:pPr>
                          <w:spacing w:after="0" w:line="280" w:lineRule="exact"/>
                          <w:rPr>
                            <w:rFonts w:ascii="Times New Roman" w:eastAsia="宋体" w:hAnsi="Times New Roman" w:cs="Times New Roman"/>
                            <w:sz w:val="23"/>
                            <w:szCs w:val="23"/>
                            <w:lang w:val="en-GB"/>
                          </w:rPr>
                        </w:pPr>
                        <w:r>
                          <w:rPr>
                            <w:rFonts w:ascii="宋体" w:eastAsia="宋体" w:hAnsi="宋体" w:cs="Times New Roman" w:hint="eastAsia"/>
                            <w:sz w:val="23"/>
                            <w:szCs w:val="23"/>
                            <w:lang w:val="en-GB"/>
                          </w:rPr>
                          <w:t>陈淼</w:t>
                        </w:r>
                      </w:p>
                    </w:tc>
                  </w:tr>
                  <w:tr w:rsidR="00B37666" w:rsidRPr="00E57541" w:rsidTr="00E57541">
                    <w:trPr>
                      <w:tblCellSpacing w:w="0" w:type="dxa"/>
                    </w:trPr>
                    <w:tc>
                      <w:tcPr>
                        <w:tcW w:w="0" w:type="auto"/>
                        <w:tcMar>
                          <w:top w:w="60" w:type="dxa"/>
                          <w:left w:w="0" w:type="dxa"/>
                          <w:bottom w:w="0" w:type="dxa"/>
                          <w:right w:w="0" w:type="dxa"/>
                        </w:tcMar>
                        <w:hideMark/>
                      </w:tcPr>
                      <w:p w:rsidR="00B37666" w:rsidRPr="00E57541" w:rsidRDefault="00B37666" w:rsidP="00E57541">
                        <w:pPr>
                          <w:spacing w:after="0" w:line="280" w:lineRule="atLeast"/>
                          <w:rPr>
                            <w:rFonts w:ascii="Times New Roman" w:eastAsia="宋体" w:hAnsi="Times New Roman" w:cs="Times New Roman"/>
                            <w:sz w:val="24"/>
                            <w:szCs w:val="24"/>
                          </w:rPr>
                        </w:pPr>
                        <w:r w:rsidRPr="00E57541">
                          <w:rPr>
                            <w:rFonts w:ascii="宋体" w:eastAsia="宋体" w:hAnsi="宋体" w:cs="Calibri" w:hint="eastAsia"/>
                            <w:color w:val="000000"/>
                          </w:rPr>
                          <w:t>电话：</w:t>
                        </w:r>
                      </w:p>
                    </w:tc>
                    <w:tc>
                      <w:tcPr>
                        <w:tcW w:w="1985" w:type="pct"/>
                        <w:hideMark/>
                      </w:tcPr>
                      <w:p w:rsidR="00B37666" w:rsidRDefault="00B37666">
                        <w:pPr>
                          <w:spacing w:line="280" w:lineRule="exact"/>
                          <w:rPr>
                            <w:rFonts w:ascii="Times New Roman" w:hAnsi="Times New Roman" w:cs="Times New Roman"/>
                            <w:sz w:val="23"/>
                            <w:szCs w:val="23"/>
                            <w:lang w:eastAsia="en-GB"/>
                          </w:rPr>
                        </w:pPr>
                        <w:r>
                          <w:rPr>
                            <w:rFonts w:ascii="Arial Narrow" w:hAnsi="Arial Narrow"/>
                            <w:sz w:val="23"/>
                            <w:szCs w:val="23"/>
                            <w:lang w:eastAsia="en-GB"/>
                          </w:rPr>
                          <w:t>+86 (</w:t>
                        </w:r>
                        <w:r>
                          <w:rPr>
                            <w:rFonts w:ascii="Arial Narrow" w:hAnsi="Arial Narrow"/>
                            <w:sz w:val="23"/>
                            <w:szCs w:val="23"/>
                          </w:rPr>
                          <w:t>755</w:t>
                        </w:r>
                        <w:r>
                          <w:rPr>
                            <w:rFonts w:ascii="Arial Narrow" w:hAnsi="Arial Narrow"/>
                            <w:sz w:val="23"/>
                            <w:szCs w:val="23"/>
                            <w:lang w:eastAsia="en-GB"/>
                          </w:rPr>
                          <w:t xml:space="preserve">) </w:t>
                        </w:r>
                        <w:r>
                          <w:rPr>
                            <w:rFonts w:ascii="Arial Narrow" w:hAnsi="Arial Narrow"/>
                            <w:sz w:val="23"/>
                            <w:szCs w:val="23"/>
                          </w:rPr>
                          <w:t>2210 0888</w:t>
                        </w:r>
                      </w:p>
                    </w:tc>
                    <w:tc>
                      <w:tcPr>
                        <w:tcW w:w="1985" w:type="pct"/>
                      </w:tcPr>
                      <w:p w:rsidR="00B37666" w:rsidRPr="00E57541" w:rsidRDefault="00B37666" w:rsidP="00554C0D">
                        <w:pPr>
                          <w:spacing w:after="0" w:line="280" w:lineRule="exact"/>
                          <w:rPr>
                            <w:rFonts w:ascii="Times New Roman" w:eastAsia="宋体" w:hAnsi="Times New Roman" w:cs="Times New Roman"/>
                            <w:sz w:val="23"/>
                            <w:szCs w:val="23"/>
                            <w:lang w:val="en-GB"/>
                          </w:rPr>
                        </w:pPr>
                        <w:r w:rsidRPr="00E57541">
                          <w:rPr>
                            <w:rFonts w:ascii="Arial Narrow" w:eastAsia="宋体" w:hAnsi="Arial Narrow" w:cs="Times New Roman"/>
                            <w:sz w:val="23"/>
                            <w:szCs w:val="23"/>
                            <w:lang w:eastAsia="en-GB"/>
                          </w:rPr>
                          <w:t>+86 (2</w:t>
                        </w:r>
                        <w:r w:rsidRPr="00E57541">
                          <w:rPr>
                            <w:rFonts w:ascii="Arial Narrow" w:eastAsia="宋体" w:hAnsi="Arial Narrow" w:cs="Times New Roman"/>
                            <w:sz w:val="23"/>
                            <w:szCs w:val="23"/>
                          </w:rPr>
                          <w:t>0</w:t>
                        </w:r>
                        <w:r w:rsidRPr="00E57541">
                          <w:rPr>
                            <w:rFonts w:ascii="Arial Narrow" w:eastAsia="宋体" w:hAnsi="Arial Narrow" w:cs="Times New Roman"/>
                            <w:sz w:val="23"/>
                            <w:szCs w:val="23"/>
                            <w:lang w:eastAsia="en-GB"/>
                          </w:rPr>
                          <w:t xml:space="preserve">) </w:t>
                        </w:r>
                        <w:r w:rsidRPr="00E57541">
                          <w:rPr>
                            <w:rFonts w:ascii="Arial Narrow" w:eastAsia="宋体" w:hAnsi="Arial Narrow" w:cs="Times New Roman"/>
                            <w:sz w:val="23"/>
                            <w:szCs w:val="23"/>
                          </w:rPr>
                          <w:t>2338</w:t>
                        </w:r>
                        <w:r w:rsidRPr="00E57541">
                          <w:rPr>
                            <w:rFonts w:ascii="Arial Narrow" w:eastAsia="宋体" w:hAnsi="Arial Narrow" w:cs="Times New Roman"/>
                            <w:sz w:val="23"/>
                            <w:szCs w:val="23"/>
                            <w:lang w:eastAsia="en-GB"/>
                          </w:rPr>
                          <w:t xml:space="preserve"> </w:t>
                        </w:r>
                        <w:r w:rsidRPr="00E57541">
                          <w:rPr>
                            <w:rFonts w:ascii="Arial Narrow" w:eastAsia="宋体" w:hAnsi="Arial Narrow" w:cs="Times New Roman"/>
                            <w:sz w:val="23"/>
                            <w:szCs w:val="23"/>
                          </w:rPr>
                          <w:t>8088</w:t>
                        </w:r>
                      </w:p>
                    </w:tc>
                  </w:tr>
                  <w:tr w:rsidR="00B37666" w:rsidRPr="00E57541" w:rsidTr="00E57541">
                    <w:trPr>
                      <w:tblCellSpacing w:w="0" w:type="dxa"/>
                    </w:trPr>
                    <w:tc>
                      <w:tcPr>
                        <w:tcW w:w="0" w:type="auto"/>
                        <w:tcMar>
                          <w:top w:w="60" w:type="dxa"/>
                          <w:left w:w="0" w:type="dxa"/>
                          <w:bottom w:w="0" w:type="dxa"/>
                          <w:right w:w="0" w:type="dxa"/>
                        </w:tcMar>
                        <w:hideMark/>
                      </w:tcPr>
                      <w:p w:rsidR="00B37666" w:rsidRPr="00E57541" w:rsidRDefault="00B37666" w:rsidP="00E57541">
                        <w:pPr>
                          <w:spacing w:after="0" w:line="280" w:lineRule="atLeast"/>
                          <w:rPr>
                            <w:rFonts w:ascii="Times New Roman" w:eastAsia="宋体" w:hAnsi="Times New Roman" w:cs="Times New Roman"/>
                            <w:sz w:val="24"/>
                            <w:szCs w:val="24"/>
                          </w:rPr>
                        </w:pPr>
                        <w:r w:rsidRPr="00E57541">
                          <w:rPr>
                            <w:rFonts w:ascii="宋体" w:eastAsia="宋体" w:hAnsi="宋体" w:cs="Calibri" w:hint="eastAsia"/>
                            <w:color w:val="000000"/>
                          </w:rPr>
                          <w:t>电子邮件：</w:t>
                        </w:r>
                      </w:p>
                    </w:tc>
                    <w:tc>
                      <w:tcPr>
                        <w:tcW w:w="1985" w:type="pct"/>
                        <w:hideMark/>
                      </w:tcPr>
                      <w:p w:rsidR="00B37666" w:rsidRDefault="00B37666">
                        <w:pPr>
                          <w:spacing w:line="280" w:lineRule="exact"/>
                          <w:rPr>
                            <w:rFonts w:ascii="Times New Roman" w:hAnsi="Times New Roman" w:cs="Times New Roman"/>
                            <w:sz w:val="23"/>
                            <w:szCs w:val="23"/>
                            <w:lang w:eastAsia="en-GB"/>
                          </w:rPr>
                        </w:pPr>
                        <w:hyperlink r:id="rId22" w:history="1">
                          <w:proofErr w:type="spellStart"/>
                          <w:r>
                            <w:rPr>
                              <w:rStyle w:val="a4"/>
                              <w:rFonts w:ascii="Arial Narrow" w:hAnsi="Arial Narrow"/>
                              <w:sz w:val="23"/>
                              <w:szCs w:val="23"/>
                            </w:rPr>
                            <w:t>Richard.Lin</w:t>
                          </w:r>
                          <w:proofErr w:type="spellEnd"/>
                          <w:r>
                            <w:rPr>
                              <w:rStyle w:val="a4"/>
                              <w:rFonts w:ascii="Arial Narrow" w:hAnsi="Arial Narrow"/>
                              <w:sz w:val="23"/>
                              <w:szCs w:val="23"/>
                            </w:rPr>
                            <w:t xml:space="preserve"> @ap.jll.com</w:t>
                          </w:r>
                        </w:hyperlink>
                      </w:p>
                    </w:tc>
                    <w:tc>
                      <w:tcPr>
                        <w:tcW w:w="1985" w:type="pct"/>
                      </w:tcPr>
                      <w:p w:rsidR="00B37666" w:rsidRPr="00E57541" w:rsidRDefault="00B37666" w:rsidP="00554C0D">
                        <w:pPr>
                          <w:spacing w:after="0" w:line="280" w:lineRule="exact"/>
                          <w:rPr>
                            <w:rFonts w:ascii="Arial Narrow" w:eastAsia="宋体" w:hAnsi="Arial Narrow" w:cs="Times New Roman"/>
                            <w:color w:val="000000"/>
                            <w:sz w:val="23"/>
                            <w:szCs w:val="23"/>
                            <w:lang w:val="en-GB" w:eastAsia="en-GB"/>
                          </w:rPr>
                        </w:pPr>
                        <w:hyperlink r:id="rId23" w:history="1">
                          <w:r w:rsidRPr="00440FE7">
                            <w:rPr>
                              <w:rStyle w:val="a4"/>
                              <w:rFonts w:ascii="Arial Narrow" w:eastAsia="宋体" w:hAnsi="Arial Narrow" w:cs="Times New Roman" w:hint="eastAsia"/>
                              <w:sz w:val="23"/>
                              <w:szCs w:val="23"/>
                            </w:rPr>
                            <w:t>Summer</w:t>
                          </w:r>
                          <w:r w:rsidRPr="00440FE7">
                            <w:rPr>
                              <w:rStyle w:val="a4"/>
                              <w:rFonts w:ascii="Arial Narrow" w:eastAsia="宋体" w:hAnsi="Arial Narrow" w:cs="Times New Roman"/>
                              <w:sz w:val="23"/>
                              <w:szCs w:val="23"/>
                            </w:rPr>
                            <w:t>.</w:t>
                          </w:r>
                          <w:r w:rsidRPr="00440FE7">
                            <w:rPr>
                              <w:rStyle w:val="a4"/>
                              <w:rFonts w:ascii="Arial Narrow" w:eastAsia="宋体" w:hAnsi="Arial Narrow" w:cs="Times New Roman" w:hint="eastAsia"/>
                              <w:sz w:val="23"/>
                              <w:szCs w:val="23"/>
                            </w:rPr>
                            <w:t>Chen</w:t>
                          </w:r>
                          <w:r w:rsidRPr="00440FE7">
                            <w:rPr>
                              <w:rStyle w:val="a4"/>
                              <w:rFonts w:ascii="Arial Narrow" w:eastAsia="宋体" w:hAnsi="Arial Narrow" w:cs="Times New Roman"/>
                              <w:sz w:val="23"/>
                              <w:szCs w:val="23"/>
                              <w:lang w:eastAsia="en-GB"/>
                            </w:rPr>
                            <w:t>@ap.jll.com</w:t>
                          </w:r>
                        </w:hyperlink>
                      </w:p>
                    </w:tc>
                  </w:tr>
                </w:tbl>
                <w:p w:rsidR="00E57541" w:rsidRPr="00E57541" w:rsidRDefault="00E57541" w:rsidP="00E57541">
                  <w:pPr>
                    <w:spacing w:after="0" w:line="240" w:lineRule="auto"/>
                    <w:rPr>
                      <w:rFonts w:ascii="Times New Roman" w:eastAsia="Times New Roman" w:hAnsi="Times New Roman" w:cs="Times New Roman"/>
                      <w:sz w:val="20"/>
                      <w:szCs w:val="20"/>
                    </w:rPr>
                  </w:pPr>
                </w:p>
              </w:tc>
            </w:tr>
            <w:tr w:rsidR="00E57541" w:rsidRPr="00E57541">
              <w:trPr>
                <w:tblCellSpacing w:w="0" w:type="dxa"/>
              </w:trPr>
              <w:tc>
                <w:tcPr>
                  <w:tcW w:w="0" w:type="auto"/>
                  <w:tcMar>
                    <w:top w:w="0" w:type="dxa"/>
                    <w:left w:w="450" w:type="dxa"/>
                    <w:bottom w:w="270" w:type="dxa"/>
                    <w:right w:w="450" w:type="dxa"/>
                  </w:tcMar>
                  <w:hideMark/>
                </w:tcPr>
                <w:p w:rsidR="00E57541" w:rsidRPr="00E57541" w:rsidRDefault="00E57541" w:rsidP="00E57541">
                  <w:pPr>
                    <w:spacing w:after="0" w:line="240" w:lineRule="auto"/>
                    <w:rPr>
                      <w:rFonts w:ascii="Times New Roman" w:eastAsia="Times New Roman" w:hAnsi="Times New Roman" w:cs="Times New Roman"/>
                      <w:sz w:val="20"/>
                      <w:szCs w:val="20"/>
                    </w:rPr>
                  </w:pPr>
                </w:p>
              </w:tc>
            </w:tr>
            <w:tr w:rsidR="00E57541" w:rsidRPr="00E57541">
              <w:trPr>
                <w:tblCellSpacing w:w="0" w:type="dxa"/>
              </w:trPr>
              <w:tc>
                <w:tcPr>
                  <w:tcW w:w="0" w:type="auto"/>
                  <w:tcMar>
                    <w:top w:w="0" w:type="dxa"/>
                    <w:left w:w="450" w:type="dxa"/>
                    <w:bottom w:w="0" w:type="dxa"/>
                    <w:right w:w="450" w:type="dxa"/>
                  </w:tcMar>
                  <w:hideMark/>
                </w:tcPr>
                <w:tbl>
                  <w:tblPr>
                    <w:tblW w:w="5000" w:type="pct"/>
                    <w:tblCellSpacing w:w="0" w:type="dxa"/>
                    <w:tblCellMar>
                      <w:left w:w="0" w:type="dxa"/>
                      <w:right w:w="0" w:type="dxa"/>
                    </w:tblCellMar>
                    <w:tblLook w:val="04A0" w:firstRow="1" w:lastRow="0" w:firstColumn="1" w:lastColumn="0" w:noHBand="0" w:noVBand="1"/>
                  </w:tblPr>
                  <w:tblGrid>
                    <w:gridCol w:w="2100"/>
                    <w:gridCol w:w="8250"/>
                  </w:tblGrid>
                  <w:tr w:rsidR="00E57541" w:rsidRPr="00E57541">
                    <w:trPr>
                      <w:tblCellSpacing w:w="0" w:type="dxa"/>
                    </w:trPr>
                    <w:tc>
                      <w:tcPr>
                        <w:tcW w:w="850" w:type="pct"/>
                        <w:tcMar>
                          <w:top w:w="0" w:type="dxa"/>
                          <w:left w:w="0" w:type="dxa"/>
                          <w:bottom w:w="150" w:type="dxa"/>
                          <w:right w:w="450" w:type="dxa"/>
                        </w:tcMar>
                        <w:hideMark/>
                      </w:tcPr>
                      <w:p w:rsidR="00E57541" w:rsidRPr="00E57541" w:rsidRDefault="00E57541" w:rsidP="00E57541">
                        <w:pPr>
                          <w:spacing w:after="0" w:line="240" w:lineRule="auto"/>
                          <w:rPr>
                            <w:rFonts w:ascii="Calibri" w:eastAsia="宋体" w:hAnsi="Calibri" w:cs="Calibri"/>
                            <w:sz w:val="24"/>
                            <w:szCs w:val="24"/>
                          </w:rPr>
                        </w:pPr>
                        <w:r w:rsidRPr="00E57541">
                          <w:rPr>
                            <w:rFonts w:ascii="宋体" w:eastAsia="宋体" w:hAnsi="宋体" w:cs="Calibri" w:hint="eastAsia"/>
                            <w:b/>
                            <w:bCs/>
                            <w:color w:val="000000"/>
                            <w:sz w:val="20"/>
                            <w:szCs w:val="20"/>
                          </w:rPr>
                          <w:t>关注仲量联行</w:t>
                        </w:r>
                      </w:p>
                    </w:tc>
                    <w:tc>
                      <w:tcPr>
                        <w:tcW w:w="4150" w:type="pct"/>
                        <w:tcBorders>
                          <w:top w:val="nil"/>
                          <w:left w:val="single" w:sz="8" w:space="0" w:color="000000"/>
                          <w:bottom w:val="nil"/>
                          <w:right w:val="nil"/>
                        </w:tcBorders>
                        <w:tcMar>
                          <w:top w:w="0" w:type="dxa"/>
                          <w:left w:w="450" w:type="dxa"/>
                          <w:bottom w:w="150" w:type="dxa"/>
                          <w:right w:w="0" w:type="dxa"/>
                        </w:tcMar>
                        <w:hideMark/>
                      </w:tcPr>
                      <w:p w:rsidR="00E57541" w:rsidRPr="00E57541" w:rsidRDefault="00E57541" w:rsidP="00E57541">
                        <w:pPr>
                          <w:spacing w:after="0" w:line="240" w:lineRule="auto"/>
                          <w:rPr>
                            <w:rFonts w:ascii="Calibri" w:eastAsia="宋体" w:hAnsi="Calibri" w:cs="Calibri"/>
                            <w:sz w:val="24"/>
                            <w:szCs w:val="24"/>
                          </w:rPr>
                        </w:pPr>
                        <w:r w:rsidRPr="00E57541">
                          <w:rPr>
                            <w:rFonts w:ascii="宋体" w:eastAsia="宋体" w:hAnsi="宋体" w:cs="Calibri" w:hint="eastAsia"/>
                            <w:b/>
                            <w:bCs/>
                            <w:color w:val="000000"/>
                            <w:sz w:val="20"/>
                            <w:szCs w:val="20"/>
                          </w:rPr>
                          <w:t>关于仲量联行</w:t>
                        </w:r>
                      </w:p>
                    </w:tc>
                  </w:tr>
                  <w:tr w:rsidR="00E57541" w:rsidRPr="00E57541">
                    <w:trPr>
                      <w:tblCellSpacing w:w="0" w:type="dxa"/>
                    </w:trPr>
                    <w:tc>
                      <w:tcPr>
                        <w:tcW w:w="0" w:type="auto"/>
                        <w:tcMar>
                          <w:top w:w="0" w:type="dxa"/>
                          <w:left w:w="0" w:type="dxa"/>
                          <w:bottom w:w="0" w:type="dxa"/>
                          <w:right w:w="150" w:type="dxa"/>
                        </w:tcMar>
                        <w:hideMark/>
                      </w:tcPr>
                      <w:tbl>
                        <w:tblPr>
                          <w:tblW w:w="1950" w:type="dxa"/>
                          <w:tblCellSpacing w:w="0" w:type="dxa"/>
                          <w:tblCellMar>
                            <w:left w:w="0" w:type="dxa"/>
                            <w:right w:w="0" w:type="dxa"/>
                          </w:tblCellMar>
                          <w:tblLook w:val="04A0" w:firstRow="1" w:lastRow="0" w:firstColumn="1" w:lastColumn="0" w:noHBand="0" w:noVBand="1"/>
                        </w:tblPr>
                        <w:tblGrid>
                          <w:gridCol w:w="487"/>
                          <w:gridCol w:w="487"/>
                          <w:gridCol w:w="488"/>
                          <w:gridCol w:w="488"/>
                        </w:tblGrid>
                        <w:tr w:rsidR="00E57541" w:rsidRPr="00E57541">
                          <w:trPr>
                            <w:tblCellSpacing w:w="0" w:type="dxa"/>
                          </w:trPr>
                          <w:tc>
                            <w:tcPr>
                              <w:tcW w:w="0" w:type="auto"/>
                              <w:tcMar>
                                <w:top w:w="0" w:type="dxa"/>
                                <w:left w:w="0" w:type="dxa"/>
                                <w:bottom w:w="105" w:type="dxa"/>
                                <w:right w:w="0" w:type="dxa"/>
                              </w:tcMar>
                              <w:hideMark/>
                            </w:tcPr>
                            <w:p w:rsidR="00E57541" w:rsidRPr="00E57541" w:rsidRDefault="00E57541" w:rsidP="00E57541">
                              <w:pPr>
                                <w:spacing w:after="0" w:line="240" w:lineRule="auto"/>
                                <w:rPr>
                                  <w:rFonts w:ascii="Calibri" w:eastAsia="宋体" w:hAnsi="Calibri" w:cs="Calibri"/>
                                  <w:sz w:val="24"/>
                                  <w:szCs w:val="24"/>
                                </w:rPr>
                              </w:pPr>
                              <w:r w:rsidRPr="00E57541">
                                <w:rPr>
                                  <w:rFonts w:ascii="Calibri" w:eastAsia="宋体" w:hAnsi="Calibri" w:cs="Calibri"/>
                                  <w:noProof/>
                                  <w:color w:val="0000FF"/>
                                </w:rPr>
                                <w:drawing>
                                  <wp:inline distT="0" distB="0" distL="0" distR="0" wp14:anchorId="14F8878F" wp14:editId="646611BD">
                                    <wp:extent cx="190500" cy="190500"/>
                                    <wp:effectExtent l="0" t="0" r="0" b="0"/>
                                    <wp:docPr id="25" name="Picture 10" descr="Description: http://www.joneslanglasallesites.com/eDM/imgs/news-release/share-button-twitter-v1.png">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www.joneslanglasallesites.com/eDM/imgs/news-release/share-button-twitter-v1.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105" w:type="dxa"/>
                                <w:right w:w="0" w:type="dxa"/>
                              </w:tcMar>
                              <w:hideMark/>
                            </w:tcPr>
                            <w:p w:rsidR="00E57541" w:rsidRPr="00E57541" w:rsidRDefault="00E57541" w:rsidP="00E57541">
                              <w:pPr>
                                <w:spacing w:after="0" w:line="240" w:lineRule="auto"/>
                                <w:rPr>
                                  <w:rFonts w:ascii="Calibri" w:eastAsia="宋体" w:hAnsi="Calibri" w:cs="Calibri"/>
                                  <w:sz w:val="24"/>
                                  <w:szCs w:val="24"/>
                                </w:rPr>
                              </w:pPr>
                              <w:r w:rsidRPr="00E57541">
                                <w:rPr>
                                  <w:rFonts w:ascii="Calibri" w:eastAsia="宋体" w:hAnsi="Calibri" w:cs="Calibri"/>
                                  <w:noProof/>
                                  <w:color w:val="0000FF"/>
                                </w:rPr>
                                <w:drawing>
                                  <wp:inline distT="0" distB="0" distL="0" distR="0" wp14:anchorId="1D753AE3" wp14:editId="5459A742">
                                    <wp:extent cx="190500" cy="190500"/>
                                    <wp:effectExtent l="0" t="0" r="0" b="0"/>
                                    <wp:docPr id="26" name="Picture 9" descr="Description: http://www.joneslanglasallesites.com/eDM/imgs/news-release/share-button-linkedin-v1.png">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www.joneslanglasallesites.com/eDM/imgs/news-release/share-button-linkedin-v1.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105" w:type="dxa"/>
                                <w:right w:w="0" w:type="dxa"/>
                              </w:tcMar>
                              <w:hideMark/>
                            </w:tcPr>
                            <w:p w:rsidR="00E57541" w:rsidRPr="00E57541" w:rsidRDefault="00E57541" w:rsidP="00E57541">
                              <w:pPr>
                                <w:spacing w:after="0" w:line="240" w:lineRule="auto"/>
                                <w:rPr>
                                  <w:rFonts w:ascii="Calibri" w:eastAsia="宋体" w:hAnsi="Calibri" w:cs="Calibri"/>
                                  <w:sz w:val="24"/>
                                  <w:szCs w:val="24"/>
                                </w:rPr>
                              </w:pPr>
                              <w:r w:rsidRPr="00E57541">
                                <w:rPr>
                                  <w:rFonts w:ascii="Calibri" w:eastAsia="宋体" w:hAnsi="Calibri" w:cs="Calibri"/>
                                  <w:noProof/>
                                  <w:color w:val="0000FF"/>
                                </w:rPr>
                                <w:drawing>
                                  <wp:inline distT="0" distB="0" distL="0" distR="0" wp14:anchorId="3560EA50" wp14:editId="67BB82F0">
                                    <wp:extent cx="190500" cy="190500"/>
                                    <wp:effectExtent l="0" t="0" r="0" b="0"/>
                                    <wp:docPr id="27" name="Picture 8" descr="Description: http://www.joneslanglasallesites.com/eDM/imgs/news-release/share-button-googleplus-v1.png">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www.joneslanglasallesites.com/eDM/imgs/news-release/share-button-googleplus-v1.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105" w:type="dxa"/>
                                <w:right w:w="0" w:type="dxa"/>
                              </w:tcMar>
                              <w:hideMark/>
                            </w:tcPr>
                            <w:p w:rsidR="00E57541" w:rsidRPr="00E57541" w:rsidRDefault="00E57541" w:rsidP="00E57541">
                              <w:pPr>
                                <w:spacing w:after="0" w:line="240" w:lineRule="auto"/>
                                <w:rPr>
                                  <w:rFonts w:ascii="Calibri" w:eastAsia="宋体" w:hAnsi="Calibri" w:cs="Calibri"/>
                                  <w:sz w:val="24"/>
                                  <w:szCs w:val="24"/>
                                </w:rPr>
                              </w:pPr>
                              <w:r w:rsidRPr="00E57541">
                                <w:rPr>
                                  <w:rFonts w:ascii="Calibri" w:eastAsia="宋体" w:hAnsi="Calibri" w:cs="Calibri"/>
                                  <w:noProof/>
                                  <w:color w:val="0000FF"/>
                                </w:rPr>
                                <w:drawing>
                                  <wp:inline distT="0" distB="0" distL="0" distR="0" wp14:anchorId="6209BC5A" wp14:editId="47A4E6F6">
                                    <wp:extent cx="190500" cy="190500"/>
                                    <wp:effectExtent l="0" t="0" r="0" b="0"/>
                                    <wp:docPr id="28" name="Picture 7" descr="Description: http://www.joneslanglasallesites.com/eDM/imgs/news-release/share-button-cn-weibo-v1.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www.joneslanglasallesites.com/eDM/imgs/news-release/share-button-cn-weibo-v1.pn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E57541" w:rsidRPr="00E57541">
                          <w:trPr>
                            <w:tblCellSpacing w:w="0" w:type="dxa"/>
                          </w:trPr>
                          <w:tc>
                            <w:tcPr>
                              <w:tcW w:w="0" w:type="auto"/>
                              <w:hideMark/>
                            </w:tcPr>
                            <w:p w:rsidR="00E57541" w:rsidRPr="00E57541" w:rsidRDefault="00E57541" w:rsidP="00E57541">
                              <w:pPr>
                                <w:spacing w:after="0" w:line="240" w:lineRule="auto"/>
                                <w:rPr>
                                  <w:rFonts w:ascii="Calibri" w:eastAsia="宋体" w:hAnsi="Calibri" w:cs="Calibri"/>
                                  <w:sz w:val="24"/>
                                  <w:szCs w:val="24"/>
                                </w:rPr>
                              </w:pPr>
                              <w:r w:rsidRPr="00E57541">
                                <w:rPr>
                                  <w:rFonts w:ascii="Calibri" w:eastAsia="宋体" w:hAnsi="Calibri" w:cs="Calibri"/>
                                  <w:noProof/>
                                  <w:color w:val="0000FF"/>
                                </w:rPr>
                                <w:drawing>
                                  <wp:inline distT="0" distB="0" distL="0" distR="0" wp14:anchorId="2A8BB8DD" wp14:editId="06C46C41">
                                    <wp:extent cx="190500" cy="190500"/>
                                    <wp:effectExtent l="0" t="0" r="0" b="0"/>
                                    <wp:docPr id="29" name="Picture 6" descr="Description: http://www.joneslanglasallesites.com/eDM/imgs/news-release/share-button-facebook-v1.png">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www.joneslanglasallesites.com/eDM/imgs/news-release/share-button-facebook-v1.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hideMark/>
                            </w:tcPr>
                            <w:p w:rsidR="00E57541" w:rsidRPr="00E57541" w:rsidRDefault="00E57541" w:rsidP="00E57541">
                              <w:pPr>
                                <w:spacing w:after="0" w:line="240" w:lineRule="auto"/>
                                <w:rPr>
                                  <w:rFonts w:ascii="Calibri" w:eastAsia="宋体" w:hAnsi="Calibri" w:cs="Calibri"/>
                                  <w:sz w:val="24"/>
                                  <w:szCs w:val="24"/>
                                </w:rPr>
                              </w:pPr>
                              <w:r w:rsidRPr="00E57541">
                                <w:rPr>
                                  <w:rFonts w:ascii="Calibri" w:eastAsia="宋体" w:hAnsi="Calibri" w:cs="Calibri"/>
                                  <w:noProof/>
                                  <w:color w:val="0000FF"/>
                                </w:rPr>
                                <w:drawing>
                                  <wp:inline distT="0" distB="0" distL="0" distR="0" wp14:anchorId="4D3FCCE7" wp14:editId="7EE08FF7">
                                    <wp:extent cx="190500" cy="190500"/>
                                    <wp:effectExtent l="0" t="0" r="0" b="0"/>
                                    <wp:docPr id="30" name="Picture 5" descr="Description: http://www.joneslanglasallesites.com/eDM/imgs/news-release/share-button-bloggr-v1.png">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www.joneslanglasallesites.com/eDM/imgs/news-release/share-button-bloggr-v1.pn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hideMark/>
                            </w:tcPr>
                            <w:p w:rsidR="00E57541" w:rsidRPr="00E57541" w:rsidRDefault="00E57541" w:rsidP="00E57541">
                              <w:pPr>
                                <w:spacing w:after="0" w:line="240" w:lineRule="auto"/>
                                <w:rPr>
                                  <w:rFonts w:ascii="Calibri" w:eastAsia="宋体" w:hAnsi="Calibri" w:cs="Calibri"/>
                                  <w:sz w:val="24"/>
                                  <w:szCs w:val="24"/>
                                </w:rPr>
                              </w:pPr>
                              <w:r w:rsidRPr="00E57541">
                                <w:rPr>
                                  <w:rFonts w:ascii="Calibri" w:eastAsia="宋体" w:hAnsi="Calibri" w:cs="Calibri"/>
                                  <w:noProof/>
                                  <w:color w:val="0000FF"/>
                                </w:rPr>
                                <w:drawing>
                                  <wp:inline distT="0" distB="0" distL="0" distR="0" wp14:anchorId="23A492DC" wp14:editId="0DCF7E03">
                                    <wp:extent cx="190500" cy="190500"/>
                                    <wp:effectExtent l="0" t="0" r="0" b="0"/>
                                    <wp:docPr id="31" name="Picture 4" descr="Description: http://www.joneslanglasallesites.com/eDM/imgs/news-release/share-button-youtube-v1.png">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joneslanglasallesites.com/eDM/imgs/news-release/share-button-youtube-v1.png"/>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hideMark/>
                            </w:tcPr>
                            <w:p w:rsidR="00E57541" w:rsidRPr="00E57541" w:rsidRDefault="00E57541" w:rsidP="00E57541">
                              <w:pPr>
                                <w:spacing w:after="0" w:line="240" w:lineRule="auto"/>
                                <w:rPr>
                                  <w:rFonts w:ascii="Calibri" w:eastAsia="宋体" w:hAnsi="Calibri" w:cs="Calibri"/>
                                  <w:sz w:val="24"/>
                                  <w:szCs w:val="24"/>
                                </w:rPr>
                              </w:pPr>
                              <w:r w:rsidRPr="00E57541">
                                <w:rPr>
                                  <w:rFonts w:ascii="Calibri" w:eastAsia="宋体" w:hAnsi="Calibri" w:cs="Calibri"/>
                                  <w:noProof/>
                                  <w:color w:val="0000FF"/>
                                </w:rPr>
                                <w:drawing>
                                  <wp:inline distT="0" distB="0" distL="0" distR="0" wp14:anchorId="7BA2CCB2" wp14:editId="755C51F8">
                                    <wp:extent cx="190500" cy="190500"/>
                                    <wp:effectExtent l="0" t="0" r="0" b="0"/>
                                    <wp:docPr id="32" name="Picture 3" descr="Description: http://www.joneslanglasallesites.com/eDM/imgs/news-release/share-button-cn-wechat-v1.png">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joneslanglasallesites.com/eDM/imgs/news-release/share-button-cn-wechat-v1.png"/>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E57541" w:rsidRPr="00E57541" w:rsidRDefault="00E57541" w:rsidP="00E57541">
                        <w:pPr>
                          <w:spacing w:after="0" w:line="240" w:lineRule="auto"/>
                          <w:rPr>
                            <w:rFonts w:ascii="Times New Roman" w:eastAsia="Times New Roman" w:hAnsi="Times New Roman" w:cs="Times New Roman"/>
                            <w:sz w:val="20"/>
                            <w:szCs w:val="20"/>
                          </w:rPr>
                        </w:pPr>
                      </w:p>
                    </w:tc>
                    <w:tc>
                      <w:tcPr>
                        <w:tcW w:w="0" w:type="auto"/>
                        <w:tcBorders>
                          <w:top w:val="nil"/>
                          <w:left w:val="single" w:sz="8" w:space="0" w:color="000000"/>
                          <w:bottom w:val="nil"/>
                          <w:right w:val="nil"/>
                        </w:tcBorders>
                        <w:tcMar>
                          <w:top w:w="0" w:type="dxa"/>
                          <w:left w:w="450" w:type="dxa"/>
                          <w:bottom w:w="0" w:type="dxa"/>
                          <w:right w:w="0" w:type="dxa"/>
                        </w:tcMar>
                        <w:hideMark/>
                      </w:tcPr>
                      <w:p w:rsidR="00E57541" w:rsidRPr="006A500E" w:rsidRDefault="00B37666" w:rsidP="00F95F3C">
                        <w:pPr>
                          <w:spacing w:after="240" w:line="180" w:lineRule="exact"/>
                          <w:rPr>
                            <w:rFonts w:ascii="Arial Narrow" w:eastAsia="宋体" w:hAnsi="Arial Narrow" w:cs="宋体"/>
                            <w:color w:val="000000"/>
                            <w:sz w:val="18"/>
                            <w:szCs w:val="18"/>
                          </w:rPr>
                        </w:pPr>
                        <w:proofErr w:type="gramStart"/>
                        <w:r>
                          <w:rPr>
                            <w:rFonts w:ascii="宋体" w:hAnsi="宋体" w:hint="eastAsia"/>
                            <w:sz w:val="18"/>
                            <w:szCs w:val="18"/>
                          </w:rPr>
                          <w:t>仲量联行</w:t>
                        </w:r>
                        <w:proofErr w:type="gramEnd"/>
                        <w:r>
                          <w:rPr>
                            <w:rFonts w:ascii="宋体" w:hAnsi="宋体" w:hint="eastAsia"/>
                            <w:sz w:val="18"/>
                            <w:szCs w:val="18"/>
                          </w:rPr>
                          <w:t>(纽约证交所交易代码：JLL)是专注于房地产领域的专业服务和投资管理公司，致力于为客户持有、租用和投资房地产的决策实现增值。</w:t>
                        </w:r>
                        <w:proofErr w:type="gramStart"/>
                        <w:r>
                          <w:rPr>
                            <w:rFonts w:ascii="宋体" w:hAnsi="宋体" w:hint="eastAsia"/>
                            <w:sz w:val="18"/>
                            <w:szCs w:val="18"/>
                          </w:rPr>
                          <w:t>仲量联行</w:t>
                        </w:r>
                        <w:proofErr w:type="gramEnd"/>
                        <w:r>
                          <w:rPr>
                            <w:rFonts w:ascii="宋体" w:hAnsi="宋体" w:hint="eastAsia"/>
                            <w:sz w:val="18"/>
                            <w:szCs w:val="18"/>
                          </w:rPr>
                          <w:t>是《财富》500强上榜企业，业务遍及全球80个国家，拥有逾230个分公司，员工总数约58,000人。2014年度业务营收达47亿美元，总收入54亿美元。2014年仲量联行代表客户管理和</w:t>
                        </w:r>
                        <w:bookmarkStart w:id="0" w:name="_GoBack"/>
                        <w:bookmarkEnd w:id="0"/>
                        <w:r>
                          <w:rPr>
                            <w:rFonts w:ascii="宋体" w:hAnsi="宋体" w:hint="eastAsia"/>
                            <w:sz w:val="18"/>
                            <w:szCs w:val="18"/>
                          </w:rPr>
                          <w:t>提供外包服务的物业总面积逾34亿平方英尺（约3.16亿平方米），并协助客户完成了价值1180亿美元的物业出售、并购和融资交易。</w:t>
                        </w:r>
                        <w:proofErr w:type="gramStart"/>
                        <w:r>
                          <w:rPr>
                            <w:rFonts w:ascii="宋体" w:hAnsi="宋体" w:hint="eastAsia"/>
                            <w:sz w:val="18"/>
                            <w:szCs w:val="18"/>
                          </w:rPr>
                          <w:t>仲量联行</w:t>
                        </w:r>
                        <w:proofErr w:type="gramEnd"/>
                        <w:r>
                          <w:rPr>
                            <w:rFonts w:ascii="宋体" w:hAnsi="宋体" w:hint="eastAsia"/>
                            <w:sz w:val="18"/>
                            <w:szCs w:val="18"/>
                          </w:rPr>
                          <w:t xml:space="preserve">旗下的投资管理业务分支“领盛投资管理（LaSalle Investment Management）”资产总值达560亿美元。更多信息请浏览 </w:t>
                        </w:r>
                        <w:hyperlink r:id="rId38" w:tgtFrame="_blank" w:history="1">
                          <w:r>
                            <w:rPr>
                              <w:rStyle w:val="a4"/>
                              <w:rFonts w:ascii="宋体" w:hAnsi="宋体" w:hint="eastAsia"/>
                              <w:b/>
                              <w:bCs/>
                              <w:sz w:val="18"/>
                              <w:szCs w:val="18"/>
                            </w:rPr>
                            <w:t>www.jll.com</w:t>
                          </w:r>
                        </w:hyperlink>
                        <w:r>
                          <w:rPr>
                            <w:rFonts w:ascii="宋体" w:hAnsi="宋体" w:hint="eastAsia"/>
                            <w:sz w:val="18"/>
                            <w:szCs w:val="18"/>
                          </w:rPr>
                          <w:t xml:space="preserve"> </w:t>
                        </w:r>
                        <w:r>
                          <w:rPr>
                            <w:rFonts w:ascii="宋体" w:hAnsi="宋体" w:hint="eastAsia"/>
                            <w:sz w:val="18"/>
                            <w:szCs w:val="18"/>
                          </w:rPr>
                          <w:br/>
                        </w:r>
                        <w:r>
                          <w:rPr>
                            <w:rFonts w:ascii="宋体" w:hAnsi="宋体" w:hint="eastAsia"/>
                            <w:sz w:val="18"/>
                            <w:szCs w:val="18"/>
                          </w:rPr>
                          <w:br/>
                          <w:t>仲量联行在亚太地区开展业务超过50年。公司目前在亚太地区的16个国家拥有81个分公司，员工总数超过31,100人。在 “2014年国际物业奖”评选中，</w:t>
                        </w:r>
                        <w:proofErr w:type="gramStart"/>
                        <w:r>
                          <w:rPr>
                            <w:rFonts w:ascii="宋体" w:hAnsi="宋体" w:hint="eastAsia"/>
                            <w:sz w:val="18"/>
                            <w:szCs w:val="18"/>
                          </w:rPr>
                          <w:t>仲量联行</w:t>
                        </w:r>
                        <w:proofErr w:type="gramEnd"/>
                        <w:r>
                          <w:rPr>
                            <w:rFonts w:ascii="宋体" w:hAnsi="宋体" w:hint="eastAsia"/>
                            <w:sz w:val="18"/>
                            <w:szCs w:val="18"/>
                          </w:rPr>
                          <w:t>摘取了亚太地区包括中国在内的7个国家的“最佳房地产咨询公司”奖项。此外，在著名的《欧洲货币》（</w:t>
                        </w:r>
                        <w:proofErr w:type="spellStart"/>
                        <w:r>
                          <w:rPr>
                            <w:rFonts w:ascii="宋体" w:hAnsi="宋体" w:hint="eastAsia"/>
                            <w:sz w:val="18"/>
                            <w:szCs w:val="18"/>
                          </w:rPr>
                          <w:t>Euromoney</w:t>
                        </w:r>
                        <w:proofErr w:type="spellEnd"/>
                        <w:r>
                          <w:rPr>
                            <w:rFonts w:ascii="宋体" w:hAnsi="宋体" w:hint="eastAsia"/>
                            <w:sz w:val="18"/>
                            <w:szCs w:val="18"/>
                          </w:rPr>
                          <w:t>）杂志2013年房地产奖项评比中，</w:t>
                        </w:r>
                        <w:proofErr w:type="gramStart"/>
                        <w:r>
                          <w:rPr>
                            <w:rFonts w:ascii="宋体" w:hAnsi="宋体" w:hint="eastAsia"/>
                            <w:sz w:val="18"/>
                            <w:szCs w:val="18"/>
                          </w:rPr>
                          <w:t>仲量联行</w:t>
                        </w:r>
                        <w:proofErr w:type="gramEnd"/>
                        <w:r>
                          <w:rPr>
                            <w:rFonts w:ascii="宋体" w:hAnsi="宋体" w:hint="eastAsia"/>
                            <w:sz w:val="18"/>
                            <w:szCs w:val="18"/>
                          </w:rPr>
                          <w:t>一举囊括了9个重要的奖项。</w:t>
                        </w:r>
                        <w:hyperlink r:id="rId39" w:tgtFrame="_blank" w:history="1">
                          <w:r>
                            <w:rPr>
                              <w:rStyle w:val="a4"/>
                              <w:rFonts w:ascii="宋体" w:hAnsi="宋体" w:hint="eastAsia"/>
                              <w:b/>
                              <w:bCs/>
                              <w:sz w:val="18"/>
                              <w:szCs w:val="18"/>
                            </w:rPr>
                            <w:t>www.jll.com/asiapacific</w:t>
                          </w:r>
                        </w:hyperlink>
                        <w:r>
                          <w:rPr>
                            <w:rFonts w:ascii="宋体" w:hAnsi="宋体" w:hint="eastAsia"/>
                            <w:sz w:val="18"/>
                            <w:szCs w:val="18"/>
                          </w:rPr>
                          <w:t xml:space="preserve"> </w:t>
                        </w:r>
                        <w:r>
                          <w:rPr>
                            <w:rFonts w:ascii="宋体" w:hAnsi="宋体" w:hint="eastAsia"/>
                            <w:sz w:val="18"/>
                            <w:szCs w:val="18"/>
                          </w:rPr>
                          <w:br/>
                        </w:r>
                        <w:r>
                          <w:rPr>
                            <w:rFonts w:ascii="宋体" w:hAnsi="宋体" w:hint="eastAsia"/>
                            <w:sz w:val="18"/>
                            <w:szCs w:val="18"/>
                          </w:rPr>
                          <w:br/>
                          <w:t>仲量联行在 “2015年国际物业奖”评选中，荣膺“中国最佳房地产咨询公司”殊荣。在大中华区，目前拥有超过2,200名专业人员及14,000名驻场员工，所提供的专业房地产服务遍及全国80多个城市。</w:t>
                        </w:r>
                        <w:hyperlink r:id="rId40" w:tgtFrame="_blank" w:history="1">
                          <w:r>
                            <w:rPr>
                              <w:rStyle w:val="a4"/>
                              <w:rFonts w:ascii="宋体" w:hAnsi="宋体" w:hint="eastAsia"/>
                              <w:b/>
                              <w:bCs/>
                              <w:sz w:val="18"/>
                              <w:szCs w:val="18"/>
                            </w:rPr>
                            <w:t>www.joneslanglasalle.com.cn</w:t>
                          </w:r>
                        </w:hyperlink>
                      </w:p>
                    </w:tc>
                  </w:tr>
                </w:tbl>
                <w:p w:rsidR="00E57541" w:rsidRPr="00E57541" w:rsidRDefault="00E57541" w:rsidP="00E57541">
                  <w:pPr>
                    <w:spacing w:after="0" w:line="240" w:lineRule="auto"/>
                    <w:rPr>
                      <w:rFonts w:ascii="Times New Roman" w:eastAsia="Times New Roman" w:hAnsi="Times New Roman" w:cs="Times New Roman"/>
                      <w:sz w:val="20"/>
                      <w:szCs w:val="20"/>
                    </w:rPr>
                  </w:pPr>
                </w:p>
              </w:tc>
            </w:tr>
          </w:tbl>
          <w:p w:rsidR="00E57541" w:rsidRPr="00E57541" w:rsidRDefault="00E57541" w:rsidP="00E57541">
            <w:pPr>
              <w:spacing w:after="0" w:line="240" w:lineRule="auto"/>
              <w:rPr>
                <w:rFonts w:ascii="Times New Roman" w:eastAsia="Times New Roman" w:hAnsi="Times New Roman" w:cs="Times New Roman"/>
                <w:sz w:val="20"/>
                <w:szCs w:val="20"/>
              </w:rPr>
            </w:pPr>
          </w:p>
        </w:tc>
      </w:tr>
    </w:tbl>
    <w:p w:rsidR="009A7DBF" w:rsidRDefault="009A7DBF"/>
    <w:sectPr w:rsidR="009A7DBF" w:rsidSect="00B420D6">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6E2" w:rsidRDefault="002C66E2" w:rsidP="0050799A">
      <w:pPr>
        <w:spacing w:after="0" w:line="240" w:lineRule="auto"/>
      </w:pPr>
      <w:r>
        <w:separator/>
      </w:r>
    </w:p>
  </w:endnote>
  <w:endnote w:type="continuationSeparator" w:id="0">
    <w:p w:rsidR="002C66E2" w:rsidRDefault="002C66E2" w:rsidP="00507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6E2" w:rsidRDefault="002C66E2" w:rsidP="0050799A">
      <w:pPr>
        <w:spacing w:after="0" w:line="240" w:lineRule="auto"/>
      </w:pPr>
      <w:r>
        <w:separator/>
      </w:r>
    </w:p>
  </w:footnote>
  <w:footnote w:type="continuationSeparator" w:id="0">
    <w:p w:rsidR="002C66E2" w:rsidRDefault="002C66E2" w:rsidP="005079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41"/>
    <w:rsid w:val="0001292C"/>
    <w:rsid w:val="00065541"/>
    <w:rsid w:val="000F1264"/>
    <w:rsid w:val="00122649"/>
    <w:rsid w:val="00152285"/>
    <w:rsid w:val="001C4B91"/>
    <w:rsid w:val="001F3569"/>
    <w:rsid w:val="00243B34"/>
    <w:rsid w:val="00264DAB"/>
    <w:rsid w:val="0028289D"/>
    <w:rsid w:val="002C2E74"/>
    <w:rsid w:val="002C66E2"/>
    <w:rsid w:val="002E0025"/>
    <w:rsid w:val="00307494"/>
    <w:rsid w:val="0033509F"/>
    <w:rsid w:val="003C22CE"/>
    <w:rsid w:val="003E11AA"/>
    <w:rsid w:val="003E2275"/>
    <w:rsid w:val="00404A20"/>
    <w:rsid w:val="00407067"/>
    <w:rsid w:val="004A74AC"/>
    <w:rsid w:val="004F5744"/>
    <w:rsid w:val="0050799A"/>
    <w:rsid w:val="005358C9"/>
    <w:rsid w:val="005749DB"/>
    <w:rsid w:val="005E105C"/>
    <w:rsid w:val="006528E5"/>
    <w:rsid w:val="00660225"/>
    <w:rsid w:val="006A500E"/>
    <w:rsid w:val="00712B15"/>
    <w:rsid w:val="00771D2C"/>
    <w:rsid w:val="007C4048"/>
    <w:rsid w:val="008253A2"/>
    <w:rsid w:val="00860000"/>
    <w:rsid w:val="008770EF"/>
    <w:rsid w:val="008F3409"/>
    <w:rsid w:val="008F550E"/>
    <w:rsid w:val="009054C7"/>
    <w:rsid w:val="009A7DBF"/>
    <w:rsid w:val="009B575E"/>
    <w:rsid w:val="00A67CDE"/>
    <w:rsid w:val="00A96DF0"/>
    <w:rsid w:val="00AF2B78"/>
    <w:rsid w:val="00B37666"/>
    <w:rsid w:val="00B420D6"/>
    <w:rsid w:val="00B50753"/>
    <w:rsid w:val="00BD5290"/>
    <w:rsid w:val="00BE1DD5"/>
    <w:rsid w:val="00C23AE8"/>
    <w:rsid w:val="00C86561"/>
    <w:rsid w:val="00CD2ADB"/>
    <w:rsid w:val="00D048A9"/>
    <w:rsid w:val="00E57541"/>
    <w:rsid w:val="00E60E9D"/>
    <w:rsid w:val="00EA0B06"/>
    <w:rsid w:val="00EF1113"/>
    <w:rsid w:val="00F67E0A"/>
    <w:rsid w:val="00F95F3C"/>
    <w:rsid w:val="00FD4C9C"/>
    <w:rsid w:val="00FE7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7541"/>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E57541"/>
    <w:rPr>
      <w:rFonts w:ascii="Tahoma" w:hAnsi="Tahoma" w:cs="Tahoma"/>
      <w:sz w:val="16"/>
      <w:szCs w:val="16"/>
    </w:rPr>
  </w:style>
  <w:style w:type="character" w:styleId="a4">
    <w:name w:val="Hyperlink"/>
    <w:basedOn w:val="a0"/>
    <w:uiPriority w:val="99"/>
    <w:unhideWhenUsed/>
    <w:rsid w:val="00E57541"/>
    <w:rPr>
      <w:color w:val="0000FF" w:themeColor="hyperlink"/>
      <w:u w:val="single"/>
    </w:rPr>
  </w:style>
  <w:style w:type="character" w:styleId="a5">
    <w:name w:val="FollowedHyperlink"/>
    <w:basedOn w:val="a0"/>
    <w:uiPriority w:val="99"/>
    <w:semiHidden/>
    <w:unhideWhenUsed/>
    <w:rsid w:val="003E2275"/>
    <w:rPr>
      <w:color w:val="800080" w:themeColor="followedHyperlink"/>
      <w:u w:val="single"/>
    </w:rPr>
  </w:style>
  <w:style w:type="paragraph" w:styleId="a6">
    <w:name w:val="header"/>
    <w:basedOn w:val="a"/>
    <w:link w:val="Char0"/>
    <w:uiPriority w:val="99"/>
    <w:unhideWhenUsed/>
    <w:rsid w:val="0050799A"/>
    <w:pPr>
      <w:tabs>
        <w:tab w:val="center" w:pos="4320"/>
        <w:tab w:val="right" w:pos="8640"/>
      </w:tabs>
      <w:spacing w:after="0" w:line="240" w:lineRule="auto"/>
    </w:pPr>
  </w:style>
  <w:style w:type="character" w:customStyle="1" w:styleId="Char0">
    <w:name w:val="页眉 Char"/>
    <w:basedOn w:val="a0"/>
    <w:link w:val="a6"/>
    <w:uiPriority w:val="99"/>
    <w:rsid w:val="0050799A"/>
  </w:style>
  <w:style w:type="paragraph" w:styleId="a7">
    <w:name w:val="footer"/>
    <w:basedOn w:val="a"/>
    <w:link w:val="Char1"/>
    <w:uiPriority w:val="99"/>
    <w:unhideWhenUsed/>
    <w:rsid w:val="0050799A"/>
    <w:pPr>
      <w:tabs>
        <w:tab w:val="center" w:pos="4320"/>
        <w:tab w:val="right" w:pos="8640"/>
      </w:tabs>
      <w:spacing w:after="0" w:line="240" w:lineRule="auto"/>
    </w:pPr>
  </w:style>
  <w:style w:type="character" w:customStyle="1" w:styleId="Char1">
    <w:name w:val="页脚 Char"/>
    <w:basedOn w:val="a0"/>
    <w:link w:val="a7"/>
    <w:uiPriority w:val="99"/>
    <w:rsid w:val="0050799A"/>
  </w:style>
  <w:style w:type="character" w:customStyle="1" w:styleId="JLLPRbodytextChar">
    <w:name w:val="JLL_PR body text Char"/>
    <w:basedOn w:val="a0"/>
    <w:link w:val="JLLPRbodytext"/>
    <w:semiHidden/>
    <w:locked/>
    <w:rsid w:val="00F95F3C"/>
    <w:rPr>
      <w:rFonts w:ascii="Arial Narrow" w:hAnsi="Arial Narrow"/>
      <w:lang w:eastAsia="en-GB"/>
    </w:rPr>
  </w:style>
  <w:style w:type="paragraph" w:customStyle="1" w:styleId="JLLPRbodytext">
    <w:name w:val="JLL_PR body text"/>
    <w:basedOn w:val="a"/>
    <w:link w:val="JLLPRbodytextChar"/>
    <w:semiHidden/>
    <w:rsid w:val="00F95F3C"/>
    <w:pPr>
      <w:spacing w:after="140" w:line="320" w:lineRule="exact"/>
    </w:pPr>
    <w:rPr>
      <w:rFonts w:ascii="Arial Narrow" w:hAnsi="Arial Narrow"/>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7541"/>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E57541"/>
    <w:rPr>
      <w:rFonts w:ascii="Tahoma" w:hAnsi="Tahoma" w:cs="Tahoma"/>
      <w:sz w:val="16"/>
      <w:szCs w:val="16"/>
    </w:rPr>
  </w:style>
  <w:style w:type="character" w:styleId="a4">
    <w:name w:val="Hyperlink"/>
    <w:basedOn w:val="a0"/>
    <w:uiPriority w:val="99"/>
    <w:unhideWhenUsed/>
    <w:rsid w:val="00E57541"/>
    <w:rPr>
      <w:color w:val="0000FF" w:themeColor="hyperlink"/>
      <w:u w:val="single"/>
    </w:rPr>
  </w:style>
  <w:style w:type="character" w:styleId="a5">
    <w:name w:val="FollowedHyperlink"/>
    <w:basedOn w:val="a0"/>
    <w:uiPriority w:val="99"/>
    <w:semiHidden/>
    <w:unhideWhenUsed/>
    <w:rsid w:val="003E2275"/>
    <w:rPr>
      <w:color w:val="800080" w:themeColor="followedHyperlink"/>
      <w:u w:val="single"/>
    </w:rPr>
  </w:style>
  <w:style w:type="paragraph" w:styleId="a6">
    <w:name w:val="header"/>
    <w:basedOn w:val="a"/>
    <w:link w:val="Char0"/>
    <w:uiPriority w:val="99"/>
    <w:unhideWhenUsed/>
    <w:rsid w:val="0050799A"/>
    <w:pPr>
      <w:tabs>
        <w:tab w:val="center" w:pos="4320"/>
        <w:tab w:val="right" w:pos="8640"/>
      </w:tabs>
      <w:spacing w:after="0" w:line="240" w:lineRule="auto"/>
    </w:pPr>
  </w:style>
  <w:style w:type="character" w:customStyle="1" w:styleId="Char0">
    <w:name w:val="页眉 Char"/>
    <w:basedOn w:val="a0"/>
    <w:link w:val="a6"/>
    <w:uiPriority w:val="99"/>
    <w:rsid w:val="0050799A"/>
  </w:style>
  <w:style w:type="paragraph" w:styleId="a7">
    <w:name w:val="footer"/>
    <w:basedOn w:val="a"/>
    <w:link w:val="Char1"/>
    <w:uiPriority w:val="99"/>
    <w:unhideWhenUsed/>
    <w:rsid w:val="0050799A"/>
    <w:pPr>
      <w:tabs>
        <w:tab w:val="center" w:pos="4320"/>
        <w:tab w:val="right" w:pos="8640"/>
      </w:tabs>
      <w:spacing w:after="0" w:line="240" w:lineRule="auto"/>
    </w:pPr>
  </w:style>
  <w:style w:type="character" w:customStyle="1" w:styleId="Char1">
    <w:name w:val="页脚 Char"/>
    <w:basedOn w:val="a0"/>
    <w:link w:val="a7"/>
    <w:uiPriority w:val="99"/>
    <w:rsid w:val="0050799A"/>
  </w:style>
  <w:style w:type="character" w:customStyle="1" w:styleId="JLLPRbodytextChar">
    <w:name w:val="JLL_PR body text Char"/>
    <w:basedOn w:val="a0"/>
    <w:link w:val="JLLPRbodytext"/>
    <w:semiHidden/>
    <w:locked/>
    <w:rsid w:val="00F95F3C"/>
    <w:rPr>
      <w:rFonts w:ascii="Arial Narrow" w:hAnsi="Arial Narrow"/>
      <w:lang w:eastAsia="en-GB"/>
    </w:rPr>
  </w:style>
  <w:style w:type="paragraph" w:customStyle="1" w:styleId="JLLPRbodytext">
    <w:name w:val="JLL_PR body text"/>
    <w:basedOn w:val="a"/>
    <w:link w:val="JLLPRbodytextChar"/>
    <w:semiHidden/>
    <w:rsid w:val="00F95F3C"/>
    <w:pPr>
      <w:spacing w:after="140" w:line="320" w:lineRule="exact"/>
    </w:pPr>
    <w:rPr>
      <w:rFonts w:ascii="Arial Narrow" w:hAnsi="Arial Narrow"/>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73178">
      <w:bodyDiv w:val="1"/>
      <w:marLeft w:val="0"/>
      <w:marRight w:val="0"/>
      <w:marTop w:val="0"/>
      <w:marBottom w:val="0"/>
      <w:divBdr>
        <w:top w:val="none" w:sz="0" w:space="0" w:color="auto"/>
        <w:left w:val="none" w:sz="0" w:space="0" w:color="auto"/>
        <w:bottom w:val="none" w:sz="0" w:space="0" w:color="auto"/>
        <w:right w:val="none" w:sz="0" w:space="0" w:color="auto"/>
      </w:divBdr>
    </w:div>
    <w:div w:id="843590041">
      <w:bodyDiv w:val="1"/>
      <w:marLeft w:val="0"/>
      <w:marRight w:val="0"/>
      <w:marTop w:val="0"/>
      <w:marBottom w:val="0"/>
      <w:divBdr>
        <w:top w:val="none" w:sz="0" w:space="0" w:color="auto"/>
        <w:left w:val="none" w:sz="0" w:space="0" w:color="auto"/>
        <w:bottom w:val="none" w:sz="0" w:space="0" w:color="auto"/>
        <w:right w:val="none" w:sz="0" w:space="0" w:color="auto"/>
      </w:divBdr>
    </w:div>
    <w:div w:id="924265298">
      <w:bodyDiv w:val="1"/>
      <w:marLeft w:val="0"/>
      <w:marRight w:val="0"/>
      <w:marTop w:val="0"/>
      <w:marBottom w:val="0"/>
      <w:divBdr>
        <w:top w:val="none" w:sz="0" w:space="0" w:color="auto"/>
        <w:left w:val="none" w:sz="0" w:space="0" w:color="auto"/>
        <w:bottom w:val="none" w:sz="0" w:space="0" w:color="auto"/>
        <w:right w:val="none" w:sz="0" w:space="0" w:color="auto"/>
      </w:divBdr>
    </w:div>
    <w:div w:id="1518931355">
      <w:bodyDiv w:val="1"/>
      <w:marLeft w:val="0"/>
      <w:marRight w:val="0"/>
      <w:marTop w:val="0"/>
      <w:marBottom w:val="0"/>
      <w:divBdr>
        <w:top w:val="none" w:sz="0" w:space="0" w:color="auto"/>
        <w:left w:val="none" w:sz="0" w:space="0" w:color="auto"/>
        <w:bottom w:val="none" w:sz="0" w:space="0" w:color="auto"/>
        <w:right w:val="none" w:sz="0" w:space="0" w:color="auto"/>
      </w:divBdr>
    </w:div>
    <w:div w:id="21191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CF378E.8850E3C0" TargetMode="External"/><Relationship Id="rId13" Type="http://schemas.openxmlformats.org/officeDocument/2006/relationships/image" Target="media/image4.png"/><Relationship Id="rId18" Type="http://schemas.openxmlformats.org/officeDocument/2006/relationships/image" Target="cid:image007.png@01CF378B.E7A02E10" TargetMode="External"/><Relationship Id="rId26" Type="http://schemas.openxmlformats.org/officeDocument/2006/relationships/hyperlink" Target="https://plus.google.com/+joneslanglasalle" TargetMode="External"/><Relationship Id="rId39" Type="http://schemas.openxmlformats.org/officeDocument/2006/relationships/hyperlink" Target="http://www.jll.com/asiapacific"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cid:image010.png@01CF378B.E7A02E10"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cid:image004.png@01CF378B.E7A02E10" TargetMode="External"/><Relationship Id="rId17" Type="http://schemas.openxmlformats.org/officeDocument/2006/relationships/image" Target="media/image6.png"/><Relationship Id="rId25" Type="http://schemas.openxmlformats.org/officeDocument/2006/relationships/hyperlink" Target="http://www.linkedin.com/company/jll" TargetMode="External"/><Relationship Id="rId33" Type="http://schemas.openxmlformats.org/officeDocument/2006/relationships/image" Target="media/image10.png"/><Relationship Id="rId38" Type="http://schemas.openxmlformats.org/officeDocument/2006/relationships/hyperlink" Target="http://www.jll.com/" TargetMode="External"/><Relationship Id="rId2" Type="http://schemas.microsoft.com/office/2007/relationships/stylesWithEffects" Target="stylesWithEffects.xml"/><Relationship Id="rId16" Type="http://schemas.openxmlformats.org/officeDocument/2006/relationships/image" Target="cid:image006.png@01CF378B.E7A02E10" TargetMode="External"/><Relationship Id="rId20" Type="http://schemas.openxmlformats.org/officeDocument/2006/relationships/image" Target="cid:image008.png@01CF378B.E7A02E10" TargetMode="External"/><Relationship Id="rId29" Type="http://schemas.openxmlformats.org/officeDocument/2006/relationships/hyperlink" Target="http://www.joneslanglasalleblog.com/APResearch/"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twitter.com/JLLNews" TargetMode="External"/><Relationship Id="rId32" Type="http://schemas.openxmlformats.org/officeDocument/2006/relationships/hyperlink" Target="http://www.youtube.com/joneslanglasalle" TargetMode="External"/><Relationship Id="rId37" Type="http://schemas.openxmlformats.org/officeDocument/2006/relationships/image" Target="cid:image011.png@01CF378B.E7A02E10" TargetMode="External"/><Relationship Id="rId40" Type="http://schemas.openxmlformats.org/officeDocument/2006/relationships/hyperlink" Target="http://www.joneslanglasalle.com.cn"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mailto:Summer.Chen@ap.jll.com" TargetMode="External"/><Relationship Id="rId28" Type="http://schemas.openxmlformats.org/officeDocument/2006/relationships/hyperlink" Target="https://www.facebook.com/joneslanglasalle?fref=ts" TargetMode="External"/><Relationship Id="rId36" Type="http://schemas.openxmlformats.org/officeDocument/2006/relationships/image" Target="media/image11.png"/><Relationship Id="rId10" Type="http://schemas.openxmlformats.org/officeDocument/2006/relationships/image" Target="cid:image003.png@01CF378B.E7A02E10" TargetMode="External"/><Relationship Id="rId19" Type="http://schemas.openxmlformats.org/officeDocument/2006/relationships/image" Target="media/image7.png"/><Relationship Id="rId31" Type="http://schemas.openxmlformats.org/officeDocument/2006/relationships/image" Target="cid:image009.png@01CF378B.E7A02E1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5.png@01CF378B.E7A02E10" TargetMode="External"/><Relationship Id="rId22" Type="http://schemas.openxmlformats.org/officeDocument/2006/relationships/hyperlink" Target="mailto:Richard.Lin%20@ap.jll.com" TargetMode="External"/><Relationship Id="rId27" Type="http://schemas.openxmlformats.org/officeDocument/2006/relationships/hyperlink" Target="http://www.weibo.com/JLLChina" TargetMode="External"/><Relationship Id="rId30" Type="http://schemas.openxmlformats.org/officeDocument/2006/relationships/image" Target="media/image9.png"/><Relationship Id="rId35" Type="http://schemas.openxmlformats.org/officeDocument/2006/relationships/hyperlink" Target="http://www.asiapacific.joneslanglasalle.com/Shanghai/2014/JLL_WeChat_QRCod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Jones Lang Lasalle</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Nikita (Shenzhen, China)</dc:creator>
  <cp:lastModifiedBy>Chen, Summer (Guangzhou, China)</cp:lastModifiedBy>
  <cp:revision>3</cp:revision>
  <dcterms:created xsi:type="dcterms:W3CDTF">2015-09-02T01:27:00Z</dcterms:created>
  <dcterms:modified xsi:type="dcterms:W3CDTF">2015-09-02T01:29:00Z</dcterms:modified>
</cp:coreProperties>
</file>